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580" w:lineRule="exact"/>
        <w:jc w:val="left"/>
        <w:rPr>
          <w:rFonts w:ascii="Times New Roman" w:hAnsi="Times New Roman" w:eastAsia="楷体_GB2312"/>
          <w:sz w:val="32"/>
          <w:szCs w:val="32"/>
        </w:rPr>
      </w:pPr>
    </w:p>
    <w:p>
      <w:pPr>
        <w:spacing w:line="580" w:lineRule="exact"/>
        <w:jc w:val="left"/>
        <w:rPr>
          <w:rFonts w:ascii="Times New Roman" w:hAnsi="Times New Roman" w:eastAsia="黑体"/>
          <w:sz w:val="32"/>
          <w:szCs w:val="32"/>
        </w:rPr>
      </w:pPr>
    </w:p>
    <w:p>
      <w:pPr>
        <w:spacing w:line="580" w:lineRule="exact"/>
        <w:jc w:val="left"/>
        <w:rPr>
          <w:rFonts w:ascii="Times New Roman" w:hAnsi="Times New Roman" w:eastAsia="黑体"/>
          <w:sz w:val="32"/>
          <w:szCs w:val="32"/>
        </w:rPr>
      </w:pPr>
    </w:p>
    <w:p>
      <w:pPr>
        <w:spacing w:line="580" w:lineRule="exact"/>
        <w:jc w:val="center"/>
        <w:rPr>
          <w:rFonts w:ascii="Times New Roman" w:hAnsi="Times New Roman" w:eastAsia="仿宋_GB2312"/>
          <w:sz w:val="32"/>
          <w:szCs w:val="32"/>
        </w:rPr>
      </w:pPr>
    </w:p>
    <w:p>
      <w:pPr>
        <w:spacing w:line="580" w:lineRule="exact"/>
        <w:jc w:val="center"/>
        <w:rPr>
          <w:rFonts w:ascii="Times New Roman" w:hAnsi="Times New Roman" w:eastAsia="仿宋_GB2312"/>
          <w:sz w:val="32"/>
          <w:szCs w:val="32"/>
        </w:rPr>
      </w:pPr>
    </w:p>
    <w:p>
      <w:pPr>
        <w:spacing w:line="580" w:lineRule="exact"/>
        <w:jc w:val="center"/>
        <w:rPr>
          <w:rFonts w:ascii="Times New Roman" w:hAnsi="Times New Roman" w:eastAsia="仿宋_GB2312"/>
          <w:sz w:val="32"/>
          <w:szCs w:val="32"/>
        </w:rPr>
      </w:pPr>
    </w:p>
    <w:p>
      <w:pPr>
        <w:spacing w:line="580" w:lineRule="exact"/>
        <w:jc w:val="center"/>
        <w:rPr>
          <w:rFonts w:ascii="Times New Roman" w:hAnsi="Times New Roman" w:eastAsia="仿宋_GB2312"/>
          <w:sz w:val="32"/>
          <w:szCs w:val="32"/>
        </w:rPr>
      </w:pPr>
    </w:p>
    <w:p>
      <w:pPr>
        <w:spacing w:line="580" w:lineRule="exact"/>
        <w:jc w:val="center"/>
        <w:rPr>
          <w:rFonts w:ascii="Times New Roman" w:hAnsi="Times New Roman" w:eastAsia="仿宋_GB2312"/>
          <w:sz w:val="32"/>
          <w:szCs w:val="32"/>
        </w:rPr>
      </w:pPr>
    </w:p>
    <w:p>
      <w:pPr>
        <w:spacing w:line="580" w:lineRule="exact"/>
        <w:jc w:val="center"/>
        <w:rPr>
          <w:rFonts w:ascii="Times New Roman" w:hAnsi="Times New Roman" w:eastAsia="仿宋_GB2312"/>
          <w:sz w:val="32"/>
          <w:szCs w:val="32"/>
        </w:rPr>
      </w:pPr>
    </w:p>
    <w:p>
      <w:pPr>
        <w:snapToGrid w:val="0"/>
        <w:spacing w:line="620" w:lineRule="exact"/>
        <w:contextualSpacing/>
        <w:jc w:val="center"/>
        <w:rPr>
          <w:rFonts w:hint="default" w:ascii="Times New Roman" w:eastAsia="方正小标宋简体"/>
          <w:sz w:val="44"/>
          <w:szCs w:val="44"/>
        </w:rPr>
      </w:pPr>
      <w:r>
        <w:rPr>
          <w:rFonts w:hint="default" w:ascii="Times New Roman" w:hAnsi="Times New Roman" w:eastAsia="方正小标宋简体"/>
          <w:sz w:val="44"/>
          <w:szCs w:val="44"/>
        </w:rPr>
        <w:t>天津市滨海新区人民政府关于</w:t>
      </w:r>
      <w:r>
        <w:rPr>
          <w:rFonts w:hint="default" w:ascii="Times New Roman" w:hAnsi="Times New Roman" w:eastAsia="方正小标宋简体"/>
          <w:sz w:val="44"/>
          <w:szCs w:val="44"/>
          <w:lang w:eastAsia="zh-CN"/>
        </w:rPr>
        <w:t>印发</w:t>
      </w:r>
      <w:r>
        <w:rPr>
          <w:rFonts w:hint="default" w:ascii="Times New Roman" w:eastAsia="方正小标宋简体"/>
          <w:sz w:val="44"/>
          <w:szCs w:val="44"/>
        </w:rPr>
        <w:t>天津市</w:t>
      </w:r>
    </w:p>
    <w:p>
      <w:pPr>
        <w:snapToGrid w:val="0"/>
        <w:spacing w:line="620" w:lineRule="exact"/>
        <w:contextualSpacing/>
        <w:jc w:val="center"/>
        <w:rPr>
          <w:rFonts w:ascii="Times New Roman" w:hAnsi="Times New Roman" w:eastAsia="方正小标宋简体"/>
          <w:sz w:val="44"/>
          <w:szCs w:val="44"/>
        </w:rPr>
      </w:pPr>
      <w:r>
        <w:rPr>
          <w:rFonts w:hint="default" w:ascii="Times New Roman" w:eastAsia="方正小标宋简体"/>
          <w:sz w:val="44"/>
          <w:szCs w:val="44"/>
        </w:rPr>
        <w:t>滨海新区质量强区建设纲要</w:t>
      </w:r>
      <w:r>
        <w:rPr>
          <w:rFonts w:hint="default" w:ascii="Times New Roman" w:hAnsi="Times New Roman" w:eastAsia="方正小标宋简体"/>
          <w:sz w:val="44"/>
          <w:szCs w:val="44"/>
        </w:rPr>
        <w:t>的通知</w:t>
      </w:r>
    </w:p>
    <w:p>
      <w:pPr>
        <w:spacing w:line="580" w:lineRule="exact"/>
        <w:rPr>
          <w:rFonts w:ascii="Times New Roman" w:hAnsi="Times New Roman" w:eastAsia="仿宋_GB2312"/>
          <w:sz w:val="32"/>
          <w:szCs w:val="32"/>
        </w:rPr>
      </w:pPr>
    </w:p>
    <w:p>
      <w:pPr>
        <w:rPr>
          <w:rFonts w:ascii="Times New Roman" w:hAnsi="Times New Roman" w:eastAsia="仿宋_GB2312"/>
          <w:sz w:val="32"/>
          <w:szCs w:val="32"/>
        </w:rPr>
      </w:pPr>
      <w:r>
        <w:rPr>
          <w:rFonts w:hint="default" w:ascii="Times New Roman" w:hAnsi="Times New Roman" w:eastAsia="仿宋_GB2312"/>
          <w:sz w:val="32"/>
          <w:szCs w:val="32"/>
        </w:rPr>
        <w:t>各开发区管委会,各委</w:t>
      </w:r>
      <w:r>
        <w:rPr>
          <w:rFonts w:hint="default" w:ascii="Times New Roman" w:hAnsi="Times New Roman" w:eastAsia="仿宋_GB2312"/>
          <w:sz w:val="32"/>
          <w:szCs w:val="32"/>
          <w:lang w:eastAsia="zh-CN"/>
        </w:rPr>
        <w:t>办</w:t>
      </w:r>
      <w:r>
        <w:rPr>
          <w:rFonts w:hint="default" w:ascii="Times New Roman" w:hAnsi="Times New Roman" w:eastAsia="仿宋_GB2312"/>
          <w:sz w:val="32"/>
          <w:szCs w:val="32"/>
        </w:rPr>
        <w:t>局、各街镇、各单位：</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现将《</w:t>
      </w:r>
      <w:r>
        <w:rPr>
          <w:rFonts w:hint="default" w:ascii="Times New Roman" w:eastAsia="仿宋_GB2312"/>
          <w:color w:val="000000"/>
          <w:sz w:val="32"/>
          <w:szCs w:val="32"/>
        </w:rPr>
        <w:t>天津市滨海新区质量强区建设纲要</w:t>
      </w:r>
      <w:r>
        <w:rPr>
          <w:rFonts w:hint="default" w:ascii="Times New Roman" w:hAnsi="Times New Roman" w:eastAsia="仿宋_GB2312" w:cs="Times New Roman"/>
          <w:sz w:val="32"/>
          <w:szCs w:val="32"/>
        </w:rPr>
        <w:t>》印发给你们，望遵照执行。</w:t>
      </w:r>
    </w:p>
    <w:p>
      <w:pPr>
        <w:spacing w:line="580" w:lineRule="exact"/>
        <w:rPr>
          <w:rFonts w:ascii="Times New Roman" w:hAnsi="Times New Roman" w:eastAsia="黑体"/>
          <w:sz w:val="32"/>
          <w:szCs w:val="32"/>
        </w:rPr>
      </w:pPr>
    </w:p>
    <w:p>
      <w:pPr>
        <w:spacing w:line="580" w:lineRule="exact"/>
        <w:rPr>
          <w:rFonts w:ascii="Times New Roman" w:hAnsi="Times New Roman" w:eastAsia="黑体"/>
          <w:sz w:val="32"/>
          <w:szCs w:val="32"/>
        </w:rPr>
      </w:pPr>
    </w:p>
    <w:p>
      <w:pPr>
        <w:spacing w:line="580" w:lineRule="exact"/>
        <w:ind w:firstLine="4800" w:firstLineChars="1500"/>
        <w:rPr>
          <w:rFonts w:ascii="Times New Roman" w:hAnsi="Times New Roman" w:eastAsia="仿宋_GB2312"/>
          <w:color w:val="000000"/>
          <w:sz w:val="32"/>
          <w:szCs w:val="32"/>
        </w:rPr>
      </w:pPr>
      <w:r>
        <w:rPr>
          <w:rFonts w:hint="default" w:ascii="Times New Roman" w:hAnsi="Times New Roman" w:eastAsia="仿宋_GB2312"/>
          <w:color w:val="000000"/>
          <w:sz w:val="32"/>
          <w:szCs w:val="32"/>
        </w:rPr>
        <w:t>天津市滨海新区人民政府</w:t>
      </w:r>
    </w:p>
    <w:p>
      <w:pPr>
        <w:ind w:right="1260" w:rightChars="600"/>
        <w:jc w:val="right"/>
        <w:rPr>
          <w:rFonts w:ascii="Times New Roman" w:hAnsi="Times New Roman" w:eastAsia="仿宋_GB2312"/>
          <w:sz w:val="32"/>
          <w:szCs w:val="32"/>
        </w:rPr>
      </w:pPr>
      <w:r>
        <w:rPr>
          <w:rFonts w:hint="default" w:ascii="Times New Roman" w:hAnsi="Times New Roman" w:eastAsia="仿宋_GB2312" w:cs="Times New Roman"/>
          <w:sz w:val="32"/>
          <w:szCs w:val="32"/>
          <w:lang w:eastAsia="zh-CN"/>
        </w:rPr>
        <w:t>202</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sz w:val="32"/>
          <w:szCs w:val="32"/>
        </w:rPr>
        <w:t>年</w:t>
      </w:r>
      <w:r>
        <w:rPr>
          <w:rFonts w:hint="default" w:ascii="Times New Roman" w:hAnsi="Times New Roman" w:eastAsia="仿宋_GB2312"/>
          <w:sz w:val="32"/>
          <w:szCs w:val="32"/>
          <w:lang w:val="en"/>
        </w:rPr>
        <w:t>7</w:t>
      </w:r>
      <w:r>
        <w:rPr>
          <w:rFonts w:hint="default" w:ascii="Times New Roman" w:hAnsi="Times New Roman" w:eastAsia="仿宋_GB2312"/>
          <w:sz w:val="32"/>
          <w:szCs w:val="32"/>
        </w:rPr>
        <w:t>月</w:t>
      </w:r>
      <w:r>
        <w:rPr>
          <w:rFonts w:hint="default" w:ascii="Times New Roman" w:hAnsi="Times New Roman" w:eastAsia="仿宋_GB2312"/>
          <w:sz w:val="32"/>
          <w:szCs w:val="32"/>
          <w:lang w:val="en"/>
        </w:rPr>
        <w:t>6</w:t>
      </w:r>
      <w:r>
        <w:rPr>
          <w:rFonts w:hint="default" w:ascii="Times New Roman" w:hAnsi="Times New Roman" w:eastAsia="仿宋_GB2312"/>
          <w:sz w:val="32"/>
          <w:szCs w:val="32"/>
        </w:rPr>
        <w:t>日</w:t>
      </w:r>
    </w:p>
    <w:p>
      <w:pPr>
        <w:ind w:firstLine="640" w:firstLineChars="200"/>
        <w:rPr>
          <w:rFonts w:hint="default" w:ascii="Times New Roman" w:hAnsi="Times New Roman" w:eastAsia="仿宋_GB2312"/>
          <w:sz w:val="32"/>
          <w:szCs w:val="32"/>
        </w:rPr>
      </w:pPr>
      <w:r>
        <w:rPr>
          <w:rFonts w:hint="default" w:ascii="Times New Roman" w:hAnsi="Times New Roman" w:eastAsia="仿宋_GB2312"/>
          <w:sz w:val="32"/>
          <w:szCs w:val="32"/>
        </w:rPr>
        <w:t>（此件</w:t>
      </w:r>
      <w:r>
        <w:rPr>
          <w:rFonts w:hint="default" w:ascii="Times New Roman" w:hAnsi="Times New Roman" w:eastAsia="仿宋_GB2312"/>
          <w:sz w:val="32"/>
          <w:szCs w:val="32"/>
          <w:lang w:eastAsia="zh-CN"/>
        </w:rPr>
        <w:t>主动公开</w:t>
      </w:r>
      <w:r>
        <w:rPr>
          <w:rFonts w:hint="default" w:ascii="Times New Roman" w:hAnsi="Times New Roman" w:eastAsia="仿宋_GB2312"/>
          <w:sz w:val="32"/>
          <w:szCs w:val="32"/>
        </w:rPr>
        <w:t>）</w:t>
      </w:r>
    </w:p>
    <w:p>
      <w:pPr>
        <w:pStyle w:val="2"/>
      </w:pPr>
    </w:p>
    <w:p>
      <w:pPr>
        <w:keepNext w:val="0"/>
        <w:keepLines w:val="0"/>
        <w:pageBreakBefore w:val="0"/>
        <w:widowControl w:val="0"/>
        <w:kinsoku/>
        <w:wordWrap/>
        <w:overflowPunct/>
        <w:topLinePunct w:val="0"/>
        <w:autoSpaceDE/>
        <w:autoSpaceDN/>
        <w:bidi w:val="0"/>
        <w:adjustRightInd/>
        <w:snapToGrid/>
        <w:spacing w:before="0" w:beforeLines="0" w:after="0" w:afterLines="0" w:line="580" w:lineRule="exact"/>
        <w:jc w:val="center"/>
        <w:textAlignment w:val="auto"/>
        <w:rPr>
          <w:rStyle w:val="24"/>
          <w:rFonts w:ascii="Times New Roman" w:hAnsi="Times New Roman" w:eastAsia="方正小标宋简体" w:cs="Times New Roman"/>
          <w:b w:val="0"/>
          <w:bCs w:val="0"/>
        </w:rPr>
      </w:pPr>
      <w:r>
        <w:rPr>
          <w:rStyle w:val="24"/>
          <w:rFonts w:hint="default" w:ascii="Times New Roman" w:hAnsi="Times New Roman" w:eastAsia="方正小标宋简体" w:cs="Times New Roman"/>
          <w:b w:val="0"/>
          <w:bCs w:val="0"/>
        </w:rPr>
        <w:t>天津市滨海新区</w:t>
      </w:r>
      <w:r>
        <w:rPr>
          <w:rStyle w:val="24"/>
          <w:rFonts w:ascii="Times New Roman" w:hAnsi="Times New Roman" w:eastAsia="方正小标宋简体" w:cs="Times New Roman"/>
          <w:b w:val="0"/>
          <w:bCs w:val="0"/>
        </w:rPr>
        <w:t>质量强区建设纲要</w:t>
      </w:r>
    </w:p>
    <w:p>
      <w:pPr>
        <w:keepNext w:val="0"/>
        <w:keepLines w:val="0"/>
        <w:pageBreakBefore w:val="0"/>
        <w:widowControl w:val="0"/>
        <w:kinsoku/>
        <w:wordWrap/>
        <w:overflowPunct/>
        <w:topLinePunct w:val="0"/>
        <w:autoSpaceDE/>
        <w:autoSpaceDN/>
        <w:bidi w:val="0"/>
        <w:adjustRightInd/>
        <w:snapToGrid/>
        <w:spacing w:before="0" w:beforeLines="0" w:after="0" w:afterLines="0" w:line="580"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before="0" w:beforeLines="0" w:after="0" w:afterLines="0"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为贯彻落实《质量强国建设纲要》，服务质量强国战略，按照《天津市</w:t>
      </w:r>
      <w:r>
        <w:rPr>
          <w:rFonts w:ascii="Times New Roman" w:hAnsi="Times New Roman" w:eastAsia="仿宋_GB2312" w:cs="Times New Roman"/>
          <w:sz w:val="32"/>
          <w:szCs w:val="32"/>
        </w:rPr>
        <w:t>质量强市建设纲要</w:t>
      </w:r>
      <w:r>
        <w:rPr>
          <w:rFonts w:hint="default" w:ascii="Times New Roman" w:hAnsi="Times New Roman" w:eastAsia="仿宋_GB2312" w:cs="Times New Roman"/>
          <w:sz w:val="32"/>
          <w:szCs w:val="32"/>
        </w:rPr>
        <w:t>》部署，深入推进质量强区建设，结合滨海新区实际，制定本</w:t>
      </w:r>
      <w:r>
        <w:rPr>
          <w:rFonts w:ascii="Times New Roman" w:hAnsi="Times New Roman" w:eastAsia="仿宋_GB2312" w:cs="Times New Roman"/>
          <w:sz w:val="32"/>
          <w:szCs w:val="32"/>
        </w:rPr>
        <w:t>纲要</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黑体" w:cs="Times New Roman"/>
          <w:bCs/>
          <w:color w:val="000000"/>
          <w:sz w:val="32"/>
          <w:szCs w:val="32"/>
        </w:rPr>
      </w:pPr>
      <w:r>
        <w:rPr>
          <w:rFonts w:hint="default" w:ascii="Times New Roman" w:hAnsi="Times New Roman" w:eastAsia="黑体" w:cs="Times New Roman"/>
          <w:sz w:val="32"/>
          <w:szCs w:val="32"/>
          <w:lang w:eastAsia="zh-CN"/>
        </w:rPr>
        <w:t>一、</w:t>
      </w:r>
      <w:r>
        <w:rPr>
          <w:rFonts w:hint="default" w:ascii="Times New Roman" w:hAnsi="Times New Roman" w:eastAsia="黑体" w:cs="Times New Roman"/>
          <w:bCs/>
          <w:color w:val="000000"/>
          <w:sz w:val="32"/>
          <w:szCs w:val="32"/>
        </w:rPr>
        <w:t>总体要求</w:t>
      </w:r>
    </w:p>
    <w:p>
      <w:pPr>
        <w:keepNext w:val="0"/>
        <w:keepLines w:val="0"/>
        <w:pageBreakBefore w:val="0"/>
        <w:widowControl/>
        <w:numPr>
          <w:ilvl w:val="0"/>
          <w:numId w:val="1"/>
        </w:numPr>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sz w:val="32"/>
          <w:szCs w:val="32"/>
        </w:rPr>
      </w:pPr>
      <w:r>
        <w:rPr>
          <w:rFonts w:hint="default" w:ascii="Times New Roman" w:hAnsi="Times New Roman" w:eastAsia="楷体_GB2312" w:cs="Times New Roman"/>
          <w:sz w:val="32"/>
          <w:szCs w:val="32"/>
        </w:rPr>
        <w:t>指导思想</w:t>
      </w:r>
    </w:p>
    <w:p>
      <w:pPr>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sz w:val="32"/>
          <w:szCs w:val="32"/>
        </w:rPr>
      </w:pPr>
      <w:r>
        <w:rPr>
          <w:rFonts w:hint="default" w:ascii="Times New Roman" w:hAnsi="Times New Roman" w:eastAsia="仿宋_GB2312" w:cs="Times New Roman"/>
          <w:sz w:val="32"/>
          <w:szCs w:val="32"/>
        </w:rPr>
        <w:t>以习近平新时代中国特色社会主义思想为指导，</w:t>
      </w:r>
      <w:r>
        <w:rPr>
          <w:rFonts w:ascii="Times New Roman" w:hAnsi="Times New Roman" w:eastAsia="仿宋_GB2312" w:cs="Times New Roman"/>
          <w:sz w:val="32"/>
          <w:szCs w:val="32"/>
        </w:rPr>
        <w:t>全面贯彻党的二十大精神，坚定拥护“两个确立”，做到“两个维护”，</w:t>
      </w:r>
      <w:r>
        <w:rPr>
          <w:rFonts w:hint="default" w:ascii="Times New Roman" w:hAnsi="Times New Roman" w:eastAsia="仿宋_GB2312" w:cs="Times New Roman"/>
          <w:sz w:val="32"/>
          <w:szCs w:val="32"/>
          <w:lang w:eastAsia="zh-CN"/>
        </w:rPr>
        <w:t>认真</w:t>
      </w:r>
      <w:r>
        <w:rPr>
          <w:rFonts w:hint="default" w:ascii="Times New Roman" w:hAnsi="Times New Roman" w:eastAsia="仿宋_GB2312" w:cs="Times New Roman"/>
          <w:sz w:val="32"/>
          <w:szCs w:val="32"/>
        </w:rPr>
        <w:t>贯彻习近平总书记</w:t>
      </w:r>
      <w:r>
        <w:rPr>
          <w:rFonts w:hint="default" w:ascii="Times New Roman" w:hAnsi="Times New Roman" w:eastAsia="仿宋_GB2312" w:cs="Times New Roman"/>
          <w:sz w:val="32"/>
          <w:szCs w:val="32"/>
          <w:lang w:eastAsia="zh-CN"/>
        </w:rPr>
        <w:t>视察天津重要讲话精神，深入落</w:t>
      </w:r>
      <w:r>
        <w:rPr>
          <w:rFonts w:hint="default" w:ascii="Times New Roman" w:hAnsi="Times New Roman" w:eastAsia="仿宋_GB2312" w:cs="Times New Roman"/>
          <w:sz w:val="32"/>
          <w:szCs w:val="32"/>
        </w:rPr>
        <w:t>实天津市第十二次党代会</w:t>
      </w:r>
      <w:r>
        <w:rPr>
          <w:rFonts w:ascii="Times New Roman" w:hAnsi="Times New Roman" w:eastAsia="仿宋_GB2312" w:cs="Times New Roman"/>
          <w:sz w:val="32"/>
          <w:szCs w:val="32"/>
        </w:rPr>
        <w:t>和区第四次党代会</w:t>
      </w:r>
      <w:r>
        <w:rPr>
          <w:rFonts w:hint="default" w:ascii="Times New Roman" w:hAnsi="Times New Roman" w:eastAsia="仿宋_GB2312" w:cs="Times New Roman"/>
          <w:sz w:val="32"/>
          <w:szCs w:val="32"/>
        </w:rPr>
        <w:t>精神，把握新发展阶段，贯彻新发展理念，构建新发展格局，推动高质量发展，坚持以供给侧结构性改革为主线，以人民满意为根本目的，突出高标准、高效益、高品质，推动质量变革创新，发力全方位质量提升，促进全面建设生态、智慧</w:t>
      </w:r>
      <w:r>
        <w:rPr>
          <w:rFonts w:ascii="Times New Roman" w:hAnsi="Times New Roman" w:eastAsia="仿宋_GB2312" w:cs="Times New Roman"/>
          <w:sz w:val="32"/>
          <w:szCs w:val="32"/>
        </w:rPr>
        <w:t>、</w:t>
      </w:r>
      <w:r>
        <w:rPr>
          <w:rFonts w:hint="default" w:ascii="Times New Roman" w:hAnsi="Times New Roman" w:eastAsia="仿宋_GB2312" w:cs="Times New Roman"/>
          <w:sz w:val="32"/>
          <w:szCs w:val="32"/>
        </w:rPr>
        <w:t>港产城融合的宜居宜业</w:t>
      </w:r>
      <w:r>
        <w:rPr>
          <w:rFonts w:ascii="Times New Roman" w:hAnsi="Times New Roman" w:eastAsia="仿宋_GB2312" w:cs="Times New Roman"/>
          <w:sz w:val="32"/>
          <w:szCs w:val="32"/>
        </w:rPr>
        <w:t>宜游宜乐</w:t>
      </w:r>
      <w:r>
        <w:rPr>
          <w:rFonts w:hint="default" w:ascii="Times New Roman" w:hAnsi="Times New Roman" w:eastAsia="仿宋_GB2312" w:cs="Times New Roman"/>
          <w:sz w:val="32"/>
          <w:szCs w:val="32"/>
        </w:rPr>
        <w:t>美丽“滨城”。</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b/>
          <w:bCs/>
          <w:color w:val="333333"/>
          <w:sz w:val="31"/>
          <w:szCs w:val="31"/>
          <w:shd w:val="clear" w:color="auto" w:fill="FFFFFF"/>
        </w:rPr>
      </w:pPr>
      <w:r>
        <w:rPr>
          <w:rFonts w:hint="default" w:ascii="Times New Roman" w:hAnsi="Times New Roman" w:eastAsia="楷体_GB2312" w:cs="Times New Roman"/>
          <w:sz w:val="32"/>
          <w:szCs w:val="32"/>
        </w:rPr>
        <w:t>（二）主要目标</w:t>
      </w:r>
      <w:r>
        <w:rPr>
          <w:rFonts w:hint="default" w:ascii="Times New Roman" w:hAnsi="Times New Roman" w:eastAsia="仿宋_GB2312" w:cs="Times New Roman"/>
          <w:sz w:val="32"/>
          <w:szCs w:val="32"/>
        </w:rPr>
        <w:cr/>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rPr>
        <w:t>到2025年，质量推动经济社会发展的作用更加突出；人民群众质量获得感、满意度明显增强；质量治理体系更加完善。</w:t>
      </w:r>
      <w:r>
        <w:rPr>
          <w:rFonts w:hint="default" w:ascii="Times New Roman" w:hAnsi="Times New Roman" w:eastAsia="仿宋_GB2312" w:cs="Times New Roman"/>
          <w:sz w:val="32"/>
          <w:szCs w:val="32"/>
        </w:rPr>
        <w:cr/>
      </w:r>
      <w:r>
        <w:rPr>
          <w:rFonts w:hint="default" w:ascii="Times New Roman" w:hAnsi="Times New Roman" w:eastAsia="仿宋_GB2312" w:cs="Times New Roman"/>
          <w:sz w:val="32"/>
          <w:szCs w:val="32"/>
        </w:rPr>
        <w:t xml:space="preserve">    — —产业质量竞争力持续增强。产业基础高级化，产业链现代化水平明显提高，工业战略性新型产业和高技术制造业快速发展，建成质量卓越产业集群。</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产品、工程、服务质量水平显著提升。质量供给和需求更加适配，地产农产品质量安全监测总体合格率达到98％以上，食品评价性抽检合格率达到98.5％以上，制造业产品质量合格率达到95％，消费品质量合格率有效支撑高品质生活需要，建筑产业现代化达到全国领先水平，工程质量抽查符合率不断提高，服务质量满意度全面提升。</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color w:val="000000"/>
          <w:sz w:val="32"/>
          <w:szCs w:val="32"/>
        </w:rPr>
        <w:t>— —质量基础更加扎实。质量基础设施体系持续完善，效能充分释放，质量人才队伍持续壮大，有力支撑产业经济和智慧城市发展。</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质量治理更加高效。区域质量政策更加系统完备，质量法治环境趋于完善，共建共治共享的质量治理模式更加成熟。质量监管体系更加高效，产品质量国家监督抽查和市级监督抽查不合格整改完成率达到100%，质量发展环境更加优化。</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到2035年，新区质量工作持续走在全市前列，产品、工程、</w:t>
      </w:r>
      <w:r>
        <w:rPr>
          <w:rFonts w:hint="default" w:ascii="Times New Roman" w:hAnsi="Times New Roman" w:eastAsia="仿宋_GB2312" w:cs="Times New Roman"/>
          <w:color w:val="000000"/>
          <w:sz w:val="32"/>
          <w:szCs w:val="32"/>
        </w:rPr>
        <w:t>服务质量大幅提升，先进质量文化蔚然成风，</w:t>
      </w:r>
      <w:r>
        <w:rPr>
          <w:rFonts w:ascii="Times New Roman" w:hAnsi="Times New Roman" w:eastAsia="仿宋_GB2312" w:cs="Times New Roman"/>
          <w:color w:val="000000"/>
          <w:sz w:val="32"/>
          <w:szCs w:val="32"/>
        </w:rPr>
        <w:t>质量和品牌综合竞争力</w:t>
      </w:r>
      <w:r>
        <w:rPr>
          <w:rFonts w:hint="default" w:ascii="Times New Roman" w:hAnsi="Times New Roman" w:eastAsia="仿宋_GB2312" w:cs="Times New Roman"/>
          <w:color w:val="000000"/>
          <w:sz w:val="32"/>
          <w:szCs w:val="32"/>
        </w:rPr>
        <w:t>达到全国领先水平，人民群众</w:t>
      </w:r>
      <w:r>
        <w:rPr>
          <w:rFonts w:ascii="Times New Roman" w:hAnsi="Times New Roman" w:eastAsia="仿宋_GB2312" w:cs="Times New Roman"/>
          <w:sz w:val="32"/>
          <w:szCs w:val="32"/>
        </w:rPr>
        <w:t>对</w:t>
      </w:r>
      <w:r>
        <w:rPr>
          <w:rFonts w:hint="default" w:ascii="Times New Roman" w:hAnsi="Times New Roman" w:eastAsia="仿宋_GB2312" w:cs="Times New Roman"/>
          <w:color w:val="000000"/>
          <w:sz w:val="32"/>
          <w:szCs w:val="32"/>
        </w:rPr>
        <w:t>质量的需求得到更大满足。</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27" w:firstLineChars="196"/>
        <w:jc w:val="left"/>
        <w:textAlignment w:val="auto"/>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二、确立质量发展新优势</w:t>
      </w:r>
    </w:p>
    <w:p>
      <w:pPr>
        <w:pStyle w:val="9"/>
        <w:keepNext w:val="0"/>
        <w:keepLines w:val="0"/>
        <w:pageBreakBefore w:val="0"/>
        <w:kinsoku/>
        <w:wordWrap/>
        <w:overflowPunct/>
        <w:topLinePunct w:val="0"/>
        <w:autoSpaceDE/>
        <w:autoSpaceDN/>
        <w:bidi w:val="0"/>
        <w:adjustRightInd/>
        <w:snapToGrid/>
        <w:spacing w:before="0" w:beforeLines="0" w:after="0" w:afterLines="0" w:line="240" w:lineRule="auto"/>
        <w:ind w:firstLine="64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（三）增强质量创新动能</w:t>
      </w:r>
    </w:p>
    <w:p>
      <w:pPr>
        <w:pStyle w:val="9"/>
        <w:keepNext w:val="0"/>
        <w:keepLines w:val="0"/>
        <w:pageBreakBefore w:val="0"/>
        <w:widowControl/>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发挥科技型企业对我区高质量发展的引领、辐射和带动作用，强化企业创新主体地位。科技型企业能级明显提升，育成一批创新型领军企业，国高新、国科小企业群体不断壮大，瞪羚等群体性集聚；专精特新和单项冠军企业蓬勃发展，形成若干创新引领的排头兵企业，打造质量自主创新的重要源头和原始创新的重要策源地。推动制造业数字化、网络化、智能化发展，通过企业贯标实现新一代信息技术在制造业的深化应用和快速推广。引导企业开展工业网络改造与装备数字化升级，推动石化、装备制造等重点行业聚焦行业数字化转型需求，培育和推广行业解决方案，促进制造业产业模式的根本性转变。</w:t>
      </w:r>
      <w:r>
        <w:rPr>
          <w:rFonts w:ascii="Times New Roman" w:hAnsi="Times New Roman" w:eastAsia="仿宋_GB2312" w:cs="Times New Roman"/>
          <w:color w:val="000000"/>
          <w:sz w:val="32"/>
          <w:szCs w:val="32"/>
        </w:rPr>
        <w:t>（责任单位：区科技局、区工业和信息化局、区市场监管局）</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27" w:firstLineChars="196"/>
        <w:jc w:val="left"/>
        <w:textAlignment w:val="auto"/>
        <w:rPr>
          <w:rFonts w:hint="default" w:ascii="Times New Roman" w:hAnsi="Times New Roman" w:eastAsia="楷体_GB2312" w:cs="Times New Roman"/>
          <w:color w:val="000000"/>
          <w:kern w:val="0"/>
          <w:sz w:val="32"/>
          <w:szCs w:val="32"/>
        </w:rPr>
      </w:pPr>
      <w:r>
        <w:rPr>
          <w:rFonts w:hint="default" w:ascii="Times New Roman" w:hAnsi="Times New Roman" w:eastAsia="楷体_GB2312" w:cs="Times New Roman"/>
          <w:color w:val="000000"/>
          <w:kern w:val="0"/>
          <w:sz w:val="32"/>
          <w:szCs w:val="32"/>
        </w:rPr>
        <w:t>（四）推动产业链高质量发展</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加强产业链质量管理，着力提升关键环节、关键领域的质量管控水平和竞争力。聚焦重点制造业产业链，实施串补强链工程，以信息技术应用创新、生物医药、新能源、高端装备、汽车和新能源汽车等具有较强竞争力的产业链为重点，打造一批引领高质量发展的特色产业链，以新兴产业链为重点，构建一批引领现代化发展的新兴产业链，以集成电路、绿色石化、航空航天等存在短板和薄弱环节的产业链为重点，完善一批引领竞争力提升的优势产业链。全面推行“链长制”推进产业链上下游、产供销配套，进一步串联关键环节，补齐薄弱环节，强化优势环节，提升产业链整体质量竞争力。引导服务业在产业链条和业态上集聚发展，加快引领航空物流全产业链、人力资源全产业链等向高端跃升，不断提升产业链的安全性、可靠性和稳定性。（责任单位：区发展改革委、区工业和信息化局、区民政局、区农业农村委、区</w:t>
      </w:r>
      <w:r>
        <w:rPr>
          <w:rFonts w:ascii="Times New Roman" w:hAnsi="Times New Roman" w:eastAsia="仿宋_GB2312" w:cs="Times New Roman"/>
          <w:color w:val="000000"/>
          <w:kern w:val="0"/>
          <w:sz w:val="32"/>
          <w:szCs w:val="32"/>
        </w:rPr>
        <w:t>商务和投促局</w:t>
      </w:r>
      <w:r>
        <w:rPr>
          <w:rFonts w:hint="default" w:ascii="Times New Roman" w:hAnsi="Times New Roman" w:eastAsia="仿宋_GB2312" w:cs="Times New Roman"/>
          <w:color w:val="000000"/>
          <w:kern w:val="0"/>
          <w:sz w:val="32"/>
          <w:szCs w:val="32"/>
        </w:rPr>
        <w:t>、区文化和旅游局、区市场监管局）</w:t>
      </w:r>
    </w:p>
    <w:p>
      <w:pPr>
        <w:keepNext w:val="0"/>
        <w:keepLines w:val="0"/>
        <w:pageBreakBefore w:val="0"/>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楷体_GB2312" w:cs="Times New Roman"/>
          <w:color w:val="000000"/>
          <w:kern w:val="0"/>
          <w:sz w:val="32"/>
          <w:szCs w:val="32"/>
        </w:rPr>
      </w:pPr>
      <w:r>
        <w:rPr>
          <w:rFonts w:hint="default" w:ascii="Times New Roman" w:hAnsi="Times New Roman" w:eastAsia="楷体_GB2312" w:cs="Times New Roman"/>
          <w:color w:val="000000"/>
          <w:kern w:val="0"/>
          <w:sz w:val="32"/>
          <w:szCs w:val="32"/>
        </w:rPr>
        <w:t>（五）培育质量卓越产业集群</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支持新一代信息技术、装备制造、汽车、石油化工等行业依托产业链中具有核心地位的龙头企业，吸引产业链上下游企业聚集，梯次培育市级、国家级产业集群。深化产业集群质量管理机制创新，引导集群内企业加强标准协调、创新协同和业务协作，营造良好质量发展生态。鼓励产业园区、产业集聚区等创造性开展质量提升行动，加强产业集群品牌建设、创建质量品牌提升示范区。围绕产业链部署创新链，围绕创新链布局产业链，组建一批产业集群质量标准创新合作平台，加强创新技术应用，开展先进标准研制，推广先进质量管理实践。</w:t>
      </w:r>
      <w:r>
        <w:rPr>
          <w:rFonts w:ascii="Times New Roman" w:hAnsi="Times New Roman" w:eastAsia="仿宋_GB2312" w:cs="Times New Roman"/>
          <w:kern w:val="0"/>
          <w:sz w:val="32"/>
          <w:szCs w:val="32"/>
        </w:rPr>
        <w:t>滨海新区</w:t>
      </w:r>
      <w:r>
        <w:rPr>
          <w:rFonts w:hint="default" w:ascii="Times New Roman" w:hAnsi="Times New Roman" w:eastAsia="仿宋_GB2312" w:cs="Times New Roman"/>
          <w:color w:val="000000"/>
          <w:kern w:val="0"/>
          <w:sz w:val="32"/>
          <w:szCs w:val="32"/>
        </w:rPr>
        <w:t>依托“中国信创谷”、“北方声谷”，打造技术、质量、管理创新策源地，培育形成具有引领力的质量卓越产业集群。（责任单位：区发展改革委、区工业和信息化局、</w:t>
      </w:r>
      <w:r>
        <w:rPr>
          <w:rFonts w:ascii="Times New Roman" w:hAnsi="Times New Roman" w:eastAsia="仿宋_GB2312" w:cs="Times New Roman"/>
          <w:color w:val="000000"/>
          <w:kern w:val="0"/>
          <w:sz w:val="32"/>
          <w:szCs w:val="32"/>
        </w:rPr>
        <w:t>区科技局、</w:t>
      </w:r>
      <w:r>
        <w:rPr>
          <w:rFonts w:hint="default" w:ascii="Times New Roman" w:hAnsi="Times New Roman" w:eastAsia="仿宋_GB2312" w:cs="Times New Roman"/>
          <w:color w:val="000000"/>
          <w:kern w:val="0"/>
          <w:sz w:val="32"/>
          <w:szCs w:val="32"/>
        </w:rPr>
        <w:t>区市场监管局）</w:t>
      </w:r>
    </w:p>
    <w:p>
      <w:pPr>
        <w:keepNext w:val="0"/>
        <w:keepLines w:val="0"/>
        <w:pageBreakBefore w:val="0"/>
        <w:kinsoku/>
        <w:wordWrap/>
        <w:overflowPunct/>
        <w:topLinePunct w:val="0"/>
        <w:autoSpaceDE/>
        <w:autoSpaceDN/>
        <w:bidi w:val="0"/>
        <w:adjustRightInd/>
        <w:snapToGrid/>
        <w:spacing w:before="0" w:beforeLines="0" w:after="0" w:afterLines="0" w:line="240" w:lineRule="auto"/>
        <w:ind w:firstLine="627" w:firstLineChars="196"/>
        <w:textAlignment w:val="auto"/>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三、加快产品质量升级</w:t>
      </w:r>
    </w:p>
    <w:p>
      <w:pPr>
        <w:keepNext w:val="0"/>
        <w:keepLines w:val="0"/>
        <w:pageBreakBefore w:val="0"/>
        <w:kinsoku/>
        <w:wordWrap/>
        <w:overflowPunct/>
        <w:topLinePunct w:val="0"/>
        <w:autoSpaceDE/>
        <w:autoSpaceDN/>
        <w:bidi w:val="0"/>
        <w:adjustRightInd/>
        <w:snapToGrid/>
        <w:spacing w:before="0" w:beforeLines="0" w:after="0" w:afterLines="0" w:line="240" w:lineRule="auto"/>
        <w:ind w:firstLine="627" w:firstLineChars="196"/>
        <w:textAlignment w:val="auto"/>
        <w:rPr>
          <w:rFonts w:hint="default" w:ascii="Times New Roman" w:hAnsi="Times New Roman" w:eastAsia="楷体_GB2312" w:cs="Times New Roman"/>
          <w:color w:val="000000"/>
          <w:kern w:val="0"/>
          <w:sz w:val="32"/>
          <w:szCs w:val="32"/>
        </w:rPr>
      </w:pPr>
      <w:r>
        <w:rPr>
          <w:rFonts w:hint="default" w:ascii="Times New Roman" w:hAnsi="Times New Roman" w:eastAsia="楷体_GB2312" w:cs="Times New Roman"/>
          <w:color w:val="000000"/>
          <w:kern w:val="0"/>
          <w:sz w:val="32"/>
          <w:szCs w:val="32"/>
        </w:rPr>
        <w:t>（六）树立农产品、食品、药品质量安全新标杆</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健全农产品质量安全追溯体系，建立全程可追溯的综合服务</w:t>
      </w:r>
      <w:r>
        <w:rPr>
          <w:rFonts w:ascii="Times New Roman" w:hAnsi="Times New Roman" w:eastAsia="仿宋_GB2312" w:cs="Times New Roman"/>
          <w:color w:val="000000"/>
          <w:kern w:val="0"/>
          <w:sz w:val="32"/>
          <w:szCs w:val="32"/>
        </w:rPr>
        <w:t>平台</w:t>
      </w:r>
      <w:r>
        <w:rPr>
          <w:rFonts w:hint="default" w:ascii="Times New Roman" w:hAnsi="Times New Roman" w:eastAsia="仿宋_GB2312" w:cs="Times New Roman"/>
          <w:color w:val="000000"/>
          <w:kern w:val="0"/>
          <w:sz w:val="32"/>
          <w:szCs w:val="32"/>
        </w:rPr>
        <w:t>，加大检测力度，重点整治使用禁限用农药、禁用兽药及其他化合物行为，推动绿色优质农业基地建设、积极落实并完善使用农产品合格证制度，加强绿色食品、有机农产品和地理标志农产品认证与管理，推行农业良好生产规范。</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深入实施食品放心工程攻坚行动，创建国家食品安全示范城市和农产品质量安全示范区。调整优化食品产业布局，加快产业技术改造升级。积极参与国家食品安全标准和技术审查</w:t>
      </w:r>
      <w:r>
        <w:rPr>
          <w:rFonts w:ascii="Times New Roman" w:hAnsi="Times New Roman" w:eastAsia="仿宋_GB2312" w:cs="Times New Roman"/>
          <w:color w:val="000000"/>
          <w:kern w:val="0"/>
          <w:sz w:val="32"/>
          <w:szCs w:val="32"/>
        </w:rPr>
        <w:t>指导</w:t>
      </w:r>
      <w:r>
        <w:rPr>
          <w:rFonts w:hint="default" w:ascii="Times New Roman" w:hAnsi="Times New Roman" w:eastAsia="仿宋_GB2312" w:cs="Times New Roman"/>
          <w:color w:val="000000"/>
          <w:kern w:val="0"/>
          <w:sz w:val="32"/>
          <w:szCs w:val="32"/>
        </w:rPr>
        <w:t>原则的制修订，推动食品生产企业建立危害分析和关键控制点体系、食品安全管理体系等，加强生产经营过程质量安全控制。加快构建全程覆盖、运行高效的农产品食品安全监管体系，建立健全基层网格化监管体系，强化信用和智慧赋能质量安全监管。</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color w:val="000000"/>
          <w:kern w:val="0"/>
          <w:sz w:val="32"/>
          <w:szCs w:val="32"/>
        </w:rPr>
      </w:pPr>
      <w:r>
        <w:rPr>
          <w:rFonts w:ascii="Times New Roman" w:hAnsi="Times New Roman" w:eastAsia="仿宋_GB2312" w:cs="Times New Roman"/>
          <w:color w:val="000000"/>
          <w:kern w:val="0"/>
          <w:sz w:val="32"/>
          <w:szCs w:val="32"/>
        </w:rPr>
        <w:t>深化药品零售使用环节和疫苗接种环节质量管理，完善药品安全协调机制，推进药品监管能力标准化规范化建设，构建行业诚信体系，提升行业自律能力和水平。</w:t>
      </w:r>
      <w:r>
        <w:rPr>
          <w:rFonts w:hint="default" w:ascii="Times New Roman" w:hAnsi="Times New Roman" w:eastAsia="仿宋_GB2312" w:cs="Times New Roman"/>
          <w:color w:val="000000"/>
          <w:kern w:val="0"/>
          <w:sz w:val="32"/>
          <w:szCs w:val="32"/>
        </w:rPr>
        <w:t>加强农产品食品药品冷链物流设施建设，实现重点类别产品全过程可追溯。（责任单位：区市场监管局、区农业农村委、区</w:t>
      </w:r>
      <w:r>
        <w:rPr>
          <w:rFonts w:ascii="Times New Roman" w:hAnsi="Times New Roman" w:eastAsia="仿宋_GB2312" w:cs="Times New Roman"/>
          <w:color w:val="000000"/>
          <w:kern w:val="0"/>
          <w:sz w:val="32"/>
          <w:szCs w:val="32"/>
        </w:rPr>
        <w:t>商务和投促局</w:t>
      </w:r>
      <w:r>
        <w:rPr>
          <w:rFonts w:hint="default" w:ascii="Times New Roman" w:hAnsi="Times New Roman" w:eastAsia="仿宋_GB2312" w:cs="Times New Roman"/>
          <w:color w:val="000000"/>
          <w:kern w:val="0"/>
          <w:sz w:val="32"/>
          <w:szCs w:val="32"/>
        </w:rPr>
        <w:t>、区卫生健康委）</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hint="default" w:ascii="Times New Roman" w:hAnsi="Times New Roman" w:eastAsia="楷体_GB2312" w:cs="Times New Roman"/>
          <w:color w:val="000000"/>
          <w:kern w:val="0"/>
          <w:sz w:val="32"/>
          <w:szCs w:val="32"/>
        </w:rPr>
      </w:pPr>
      <w:r>
        <w:rPr>
          <w:rFonts w:hint="default" w:ascii="Times New Roman" w:hAnsi="Times New Roman" w:eastAsia="楷体_GB2312" w:cs="Times New Roman"/>
          <w:color w:val="000000"/>
          <w:kern w:val="0"/>
          <w:sz w:val="32"/>
          <w:szCs w:val="32"/>
        </w:rPr>
        <w:t>（七）提高消费品质量供给水平</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ascii="Times New Roman" w:hAnsi="Times New Roman" w:eastAsia="仿宋_GB2312" w:cs="Times New Roman"/>
          <w:color w:val="000000"/>
          <w:kern w:val="0"/>
          <w:sz w:val="32"/>
          <w:szCs w:val="32"/>
        </w:rPr>
      </w:pPr>
      <w:r>
        <w:rPr>
          <w:rFonts w:hint="default" w:ascii="Times New Roman" w:eastAsia="仿宋_GB2312"/>
          <w:sz w:val="32"/>
          <w:szCs w:val="32"/>
        </w:rPr>
        <w:t>推动企业发展个性定制、规模定制、高端定制，推动产品供给向“产品＋服务”转变，</w:t>
      </w:r>
      <w:r>
        <w:rPr>
          <w:rFonts w:hint="default" w:ascii="Times New Roman" w:hAnsi="Times New Roman" w:eastAsia="仿宋_GB2312" w:cs="Times New Roman"/>
          <w:color w:val="000000"/>
          <w:kern w:val="0"/>
          <w:sz w:val="32"/>
          <w:szCs w:val="32"/>
        </w:rPr>
        <w:t>焕发“老字号”品牌活力，</w:t>
      </w:r>
      <w:r>
        <w:rPr>
          <w:rFonts w:hint="default" w:ascii="Times New Roman" w:eastAsia="仿宋_GB2312"/>
          <w:sz w:val="32"/>
          <w:szCs w:val="32"/>
        </w:rPr>
        <w:t>向中高端迈进。</w:t>
      </w:r>
      <w:r>
        <w:rPr>
          <w:rFonts w:hint="default" w:ascii="Times New Roman" w:hAnsi="Times New Roman" w:eastAsia="仿宋_GB2312" w:cs="Times New Roman"/>
          <w:color w:val="000000"/>
          <w:kern w:val="0"/>
          <w:sz w:val="32"/>
          <w:szCs w:val="32"/>
        </w:rPr>
        <w:t>推进虚拟现实、可穿戴类、公共服务类、行业应用类智能产品前瞻性功能研发应用。开展消费品质量提升行动，提高研发设计与生产质量，推动消费品质量从生产端符合型向消费端适配型转变。加快自行车、手表、工艺美术、日用化学品、服装等消费品迭代创新。对标国际先进标准，推动内外销产品“同线同标同质”，提高出口商品品质和单位价值。</w:t>
      </w:r>
      <w:r>
        <w:rPr>
          <w:rFonts w:hint="default" w:ascii="Times New Roman" w:eastAsia="仿宋_GB2312"/>
          <w:color w:val="000000"/>
          <w:sz w:val="32"/>
          <w:szCs w:val="32"/>
        </w:rPr>
        <w:t>深入开展“质检利剑”行动，加强消费品执法打假，加强电子商</w:t>
      </w:r>
      <w:r>
        <w:rPr>
          <w:rFonts w:hint="default" w:ascii="Times New Roman" w:eastAsia="仿宋_GB2312"/>
          <w:sz w:val="32"/>
          <w:szCs w:val="32"/>
        </w:rPr>
        <w:t>务领域执法。</w:t>
      </w:r>
      <w:r>
        <w:rPr>
          <w:rFonts w:hint="default" w:ascii="Times New Roman" w:hAnsi="Times New Roman" w:eastAsia="仿宋_GB2312" w:cs="Times New Roman"/>
          <w:color w:val="000000"/>
          <w:kern w:val="0"/>
          <w:sz w:val="32"/>
          <w:szCs w:val="32"/>
        </w:rPr>
        <w:t>（责任单位：区工业和信息化局、区农业农村委、区</w:t>
      </w:r>
      <w:r>
        <w:rPr>
          <w:rFonts w:ascii="Times New Roman" w:hAnsi="Times New Roman" w:eastAsia="仿宋_GB2312" w:cs="Times New Roman"/>
          <w:color w:val="000000"/>
          <w:kern w:val="0"/>
          <w:sz w:val="32"/>
          <w:szCs w:val="32"/>
        </w:rPr>
        <w:t>商务和投促局</w:t>
      </w:r>
      <w:r>
        <w:rPr>
          <w:rFonts w:hint="default" w:ascii="Times New Roman" w:hAnsi="Times New Roman" w:eastAsia="仿宋_GB2312" w:cs="Times New Roman"/>
          <w:color w:val="000000"/>
          <w:kern w:val="0"/>
          <w:sz w:val="32"/>
          <w:szCs w:val="32"/>
        </w:rPr>
        <w:t>、区市场监管局）</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hint="default" w:ascii="Times New Roman" w:hAnsi="Times New Roman" w:eastAsia="楷体_GB2312" w:cs="Times New Roman"/>
          <w:color w:val="000000"/>
          <w:kern w:val="0"/>
          <w:sz w:val="32"/>
          <w:szCs w:val="32"/>
        </w:rPr>
      </w:pPr>
      <w:r>
        <w:rPr>
          <w:rFonts w:hint="default" w:ascii="Times New Roman" w:hAnsi="Times New Roman" w:eastAsia="楷体_GB2312" w:cs="Times New Roman"/>
          <w:color w:val="000000"/>
          <w:kern w:val="0"/>
          <w:sz w:val="32"/>
          <w:szCs w:val="32"/>
        </w:rPr>
        <w:t>（八）促进工业品质量升级</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发挥工业设计对质量提升的牵引作用，大力发展优质制造，加强研发设计、高端制造、系统集成和服务全过程质量控制。支持关键共性基础工艺研究机构建设，推动传感、测控及装备安全、可靠性等基础共性技术突破，提升重大技术装备性能稳定性、质量可靠性、环境适应性和使用寿命。加快重大技术装备首台（套）、新材料首批次、软件首版次示范应用。加快传统装备智能化改造，大力发展高质量通用智能装备。（责任单位：区工业和信息化局、区市场监管局）</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hint="default" w:ascii="Times New Roman" w:hAnsi="Times New Roman" w:eastAsia="黑体" w:cs="Times New Roman"/>
          <w:color w:val="333333"/>
          <w:sz w:val="32"/>
          <w:szCs w:val="32"/>
          <w:shd w:val="clear" w:color="auto" w:fill="FFFFFF"/>
        </w:rPr>
      </w:pPr>
      <w:r>
        <w:rPr>
          <w:rFonts w:hint="default" w:ascii="Times New Roman" w:hAnsi="Times New Roman" w:eastAsia="黑体" w:cs="Times New Roman"/>
          <w:color w:val="333333"/>
          <w:sz w:val="32"/>
          <w:szCs w:val="32"/>
          <w:shd w:val="clear" w:color="auto" w:fill="FFFFFF"/>
        </w:rPr>
        <w:t>四、推动建设工程品质升级</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hint="default" w:ascii="Times New Roman" w:hAnsi="Times New Roman" w:eastAsia="楷体_GB2312" w:cs="Times New Roman"/>
          <w:color w:val="000000"/>
          <w:kern w:val="0"/>
          <w:sz w:val="32"/>
          <w:szCs w:val="32"/>
        </w:rPr>
      </w:pPr>
      <w:r>
        <w:rPr>
          <w:rFonts w:hint="default" w:ascii="Times New Roman" w:hAnsi="Times New Roman" w:eastAsia="楷体_GB2312" w:cs="Times New Roman"/>
          <w:color w:val="000000"/>
          <w:kern w:val="0"/>
          <w:sz w:val="32"/>
          <w:szCs w:val="32"/>
        </w:rPr>
        <w:t>（九）提高建筑材料质量</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加快高强度</w:t>
      </w:r>
      <w:r>
        <w:rPr>
          <w:rFonts w:ascii="Times New Roman" w:hAnsi="Times New Roman" w:eastAsia="仿宋_GB2312" w:cs="Times New Roman"/>
          <w:color w:val="000000"/>
          <w:kern w:val="0"/>
          <w:sz w:val="32"/>
          <w:szCs w:val="32"/>
        </w:rPr>
        <w:t>、</w:t>
      </w:r>
      <w:r>
        <w:rPr>
          <w:rFonts w:hint="default" w:ascii="Times New Roman" w:hAnsi="Times New Roman" w:eastAsia="仿宋_GB2312" w:cs="Times New Roman"/>
          <w:color w:val="000000"/>
          <w:kern w:val="0"/>
          <w:sz w:val="32"/>
          <w:szCs w:val="32"/>
        </w:rPr>
        <w:t>高耐久、可循</w:t>
      </w:r>
      <w:r>
        <w:rPr>
          <w:rFonts w:hint="eastAsia" w:eastAsia="仿宋_GB2312" w:cs="Times New Roman"/>
          <w:color w:val="000000"/>
          <w:kern w:val="0"/>
          <w:sz w:val="32"/>
          <w:szCs w:val="32"/>
          <w:lang w:val="en-US" w:eastAsia="zh-CN"/>
        </w:rPr>
        <w:t>环</w:t>
      </w:r>
      <w:bookmarkStart w:id="0" w:name="_GoBack"/>
      <w:bookmarkEnd w:id="0"/>
      <w:r>
        <w:rPr>
          <w:rFonts w:hint="default" w:ascii="Times New Roman" w:hAnsi="Times New Roman" w:eastAsia="仿宋_GB2312" w:cs="Times New Roman"/>
          <w:color w:val="000000"/>
          <w:kern w:val="0"/>
          <w:sz w:val="32"/>
          <w:szCs w:val="32"/>
        </w:rPr>
        <w:t>利用、绿色环保等新型建材研发与应用，推动钢材、玻璃、陶瓷等传统建材升级换代，提升建材性能和品质。大力发展绿色建材，建立健全绿色建材推广应用机制。鼓励企业建立装配式建筑部品部件生产和施工安装全过程质量控制体系。落实建材生产单位和供应单位终身责任，</w:t>
      </w:r>
      <w:r>
        <w:rPr>
          <w:rFonts w:ascii="Times New Roman" w:hAnsi="Times New Roman" w:eastAsia="仿宋_GB2312" w:cs="Times New Roman"/>
          <w:color w:val="000000"/>
          <w:kern w:val="0"/>
          <w:sz w:val="32"/>
          <w:szCs w:val="32"/>
        </w:rPr>
        <w:t>严格建材使用单位质量责任，</w:t>
      </w:r>
      <w:r>
        <w:rPr>
          <w:rFonts w:hint="default" w:ascii="Times New Roman" w:hAnsi="Times New Roman" w:eastAsia="仿宋_GB2312" w:cs="Times New Roman"/>
          <w:color w:val="000000"/>
          <w:kern w:val="0"/>
          <w:sz w:val="32"/>
          <w:szCs w:val="32"/>
        </w:rPr>
        <w:t>强化预拌混凝土生产、运输、使用环节的质量管理，建立从生产到使用全过程的建材质量追溯机制。加强建材质量管理，加大钢材、水泥、预拌混凝土等建材产品的监督抽查力度，建立健全缺陷建材产品响应处理、信息共享和部门协同处理机制。开展民生领域建材专项整治，促进从生产到施工全链条的建材行业质量提升。（责任单位：区工业和信息化局、区住房建设委、区交通运输局、区市场监管局）</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楷体_GB2312" w:cs="Times New Roman"/>
          <w:color w:val="000000"/>
          <w:kern w:val="0"/>
          <w:sz w:val="32"/>
          <w:szCs w:val="32"/>
        </w:rPr>
      </w:pPr>
      <w:r>
        <w:rPr>
          <w:rFonts w:hint="default" w:ascii="Times New Roman" w:hAnsi="Times New Roman" w:eastAsia="楷体_GB2312" w:cs="Times New Roman"/>
          <w:color w:val="000000"/>
          <w:kern w:val="0"/>
          <w:sz w:val="32"/>
          <w:szCs w:val="32"/>
        </w:rPr>
        <w:t>（十）加强工程质量保障</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全面落实各方主体的工程质量责任，强化建设单位工程质量首要责任和勘察、设计、施工、监理单位主</w:t>
      </w:r>
      <w:r>
        <w:rPr>
          <w:rFonts w:ascii="Times New Roman" w:hAnsi="Times New Roman" w:eastAsia="仿宋_GB2312" w:cs="Times New Roman"/>
          <w:color w:val="000000"/>
          <w:kern w:val="0"/>
          <w:sz w:val="32"/>
          <w:szCs w:val="32"/>
        </w:rPr>
        <w:t>体</w:t>
      </w:r>
      <w:r>
        <w:rPr>
          <w:rFonts w:hint="default" w:ascii="Times New Roman" w:hAnsi="Times New Roman" w:eastAsia="仿宋_GB2312" w:cs="Times New Roman"/>
          <w:color w:val="000000"/>
          <w:kern w:val="0"/>
          <w:sz w:val="32"/>
          <w:szCs w:val="32"/>
        </w:rPr>
        <w:t>责任。严格执行工程质量信息公示制度和工程竣工永久性标志牌制度，强化质量责任追溯追究。落实项目法人责任制，推进工程质量管理标准化，建立岗位责任制度，严格进场设备和材料、施工工序、项目验收的全过程质量控制。严格履行工程质量保修责任，建立质量回访和质量投诉处理机制，落实工程质量保证金管理制度和质量保修责任制度。加大监督检查力度，落实日常质量监督检查和质量监督巡查工作，探索基于智慧工地的“互联网+监管”模式。加强工程建设招投标监管，完善信用评价机制，将企业质量情况纳入招标投标评审要素，加强标后合同履约监管。（责任单位：区住房建设委、区交通运输局、区水务局）</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hint="default" w:ascii="Times New Roman" w:hAnsi="Times New Roman" w:eastAsia="黑体" w:cs="Times New Roman"/>
          <w:bCs/>
          <w:sz w:val="32"/>
          <w:szCs w:val="32"/>
          <w:shd w:val="clear" w:color="auto" w:fill="FFFFFF"/>
        </w:rPr>
      </w:pPr>
      <w:r>
        <w:rPr>
          <w:rFonts w:hint="default" w:ascii="Times New Roman" w:hAnsi="Times New Roman" w:eastAsia="黑体" w:cs="Times New Roman"/>
          <w:bCs/>
          <w:color w:val="333333"/>
          <w:sz w:val="32"/>
          <w:szCs w:val="32"/>
          <w:shd w:val="clear" w:color="auto" w:fill="FFFFFF"/>
        </w:rPr>
        <w:t>五、促进服务业供给质量</w:t>
      </w:r>
      <w:r>
        <w:rPr>
          <w:rFonts w:hint="default" w:ascii="Times New Roman" w:hAnsi="Times New Roman" w:eastAsia="黑体" w:cs="Times New Roman"/>
          <w:bCs/>
          <w:sz w:val="32"/>
          <w:szCs w:val="32"/>
          <w:shd w:val="clear" w:color="auto" w:fill="FFFFFF"/>
        </w:rPr>
        <w:t>提升</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楷体_GB2312" w:cs="Times New Roman"/>
          <w:color w:val="000000"/>
          <w:kern w:val="0"/>
          <w:sz w:val="32"/>
          <w:szCs w:val="32"/>
        </w:rPr>
      </w:pPr>
      <w:r>
        <w:rPr>
          <w:rFonts w:hint="default" w:ascii="Times New Roman" w:hAnsi="Times New Roman" w:eastAsia="楷体_GB2312" w:cs="Times New Roman"/>
          <w:color w:val="000000"/>
          <w:kern w:val="0"/>
          <w:sz w:val="32"/>
          <w:szCs w:val="32"/>
        </w:rPr>
        <w:t>（十一）推动生产性服务业水平提升</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大力发展研究开发、技术转移、知识产权、检验检测等科技服务业态，形成覆盖科技创新全链条的科技服务体系。完善金融市场体系、产品体系、机构体系、基础设施体系，大力发展科技金融、普惠金融、绿色金融，强化民营企业和小微企业金融资源保障，优化三农金融产品供给。积极发展多式联运、智慧绿色物流、供应链物流，加快推进国家骨干冷链物流基地建设。巩固提升中欧班列良好发展态势，拓展沿海港口国际航线网络，提升港口、机场、陆路边境口岸等国际物流服务质量。加强信创服务基地设施建设，发展软件开发应用、</w:t>
      </w:r>
      <w:r>
        <w:rPr>
          <w:rFonts w:ascii="Times New Roman" w:hAnsi="Times New Roman" w:eastAsia="仿宋_GB2312" w:cs="Times New Roman"/>
          <w:color w:val="000000"/>
          <w:kern w:val="0"/>
          <w:sz w:val="32"/>
          <w:szCs w:val="32"/>
        </w:rPr>
        <w:t>集成电路</w:t>
      </w:r>
      <w:r>
        <w:rPr>
          <w:rFonts w:hint="default" w:ascii="Times New Roman" w:hAnsi="Times New Roman" w:eastAsia="仿宋_GB2312" w:cs="Times New Roman"/>
          <w:color w:val="000000"/>
          <w:kern w:val="0"/>
          <w:sz w:val="32"/>
          <w:szCs w:val="32"/>
        </w:rPr>
        <w:t>设计、信息安全服务等信创服务。规范发展网上销售、直播电商等新业态新模式。加快海外仓、保税仓建设，推动跨境电商等外贸新业态发展规模、质量上水平。加强重大装备、特种设备保养维修水平。（责任单位：区发展改革委、区科技局、区</w:t>
      </w:r>
      <w:r>
        <w:rPr>
          <w:rFonts w:ascii="Times New Roman" w:hAnsi="Times New Roman" w:eastAsia="仿宋_GB2312" w:cs="Times New Roman"/>
          <w:color w:val="000000"/>
          <w:kern w:val="0"/>
          <w:sz w:val="32"/>
          <w:szCs w:val="32"/>
        </w:rPr>
        <w:t>工业和信息化</w:t>
      </w:r>
      <w:r>
        <w:rPr>
          <w:rFonts w:hint="default" w:ascii="Times New Roman" w:hAnsi="Times New Roman" w:eastAsia="仿宋_GB2312" w:cs="Times New Roman"/>
          <w:color w:val="000000"/>
          <w:kern w:val="0"/>
          <w:sz w:val="32"/>
          <w:szCs w:val="32"/>
        </w:rPr>
        <w:t>局、区农业农村委、区</w:t>
      </w:r>
      <w:r>
        <w:rPr>
          <w:rFonts w:ascii="Times New Roman" w:hAnsi="Times New Roman" w:eastAsia="仿宋_GB2312" w:cs="Times New Roman"/>
          <w:color w:val="000000"/>
          <w:kern w:val="0"/>
          <w:sz w:val="32"/>
          <w:szCs w:val="32"/>
        </w:rPr>
        <w:t>商务和投促局</w:t>
      </w:r>
      <w:r>
        <w:rPr>
          <w:rFonts w:hint="default" w:ascii="Times New Roman" w:hAnsi="Times New Roman" w:eastAsia="仿宋_GB2312" w:cs="Times New Roman"/>
          <w:color w:val="000000"/>
          <w:kern w:val="0"/>
          <w:sz w:val="32"/>
          <w:szCs w:val="32"/>
        </w:rPr>
        <w:t>、区市场监管局、区金融局</w:t>
      </w:r>
      <w:r>
        <w:rPr>
          <w:rFonts w:ascii="Times New Roman" w:hAnsi="Times New Roman" w:eastAsia="仿宋_GB2312" w:cs="Times New Roman"/>
          <w:color w:val="000000"/>
          <w:kern w:val="0"/>
          <w:sz w:val="32"/>
          <w:szCs w:val="32"/>
        </w:rPr>
        <w:t>、区知识产权局</w:t>
      </w:r>
      <w:r>
        <w:rPr>
          <w:rFonts w:hint="default" w:ascii="Times New Roman" w:hAnsi="Times New Roman" w:eastAsia="仿宋_GB2312" w:cs="Times New Roman"/>
          <w:color w:val="000000"/>
          <w:kern w:val="0"/>
          <w:sz w:val="32"/>
          <w:szCs w:val="32"/>
        </w:rPr>
        <w:t>）</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楷体_GB2312" w:cs="Times New Roman"/>
          <w:color w:val="000000"/>
          <w:kern w:val="0"/>
          <w:sz w:val="32"/>
          <w:szCs w:val="32"/>
        </w:rPr>
      </w:pPr>
      <w:r>
        <w:rPr>
          <w:rFonts w:hint="default" w:ascii="Times New Roman" w:hAnsi="Times New Roman" w:eastAsia="楷体_GB2312" w:cs="Times New Roman"/>
          <w:color w:val="000000"/>
          <w:kern w:val="0"/>
          <w:sz w:val="32"/>
          <w:szCs w:val="32"/>
        </w:rPr>
        <w:t>（十二）促进生活性服务业发展</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丰富家政服务，加强家政服务标准规范建设。促进物业管理、房屋租赁服务专业化、规范化发展。规范旅游市场秩序，加强旅游服务质量监管，打造乡村旅游品牌，提升红色旅游品质，全面提升旅游管理和服务水平。引导网约出租车、定制公交等出行服务规范发展。持续开展体育惠民活动，实施全民健身行动，加强体育公园、健身步道、社会足球场、全民健身中心、共同体育场、户外运动公共服务设施等基础设施建设。加快培育专业化网络零售平台，大力发展无人销售店、智能零售等新模式、新业态、新</w:t>
      </w:r>
      <w:r>
        <w:rPr>
          <w:rFonts w:hint="default" w:ascii="Times New Roman" w:hAnsi="Times New Roman" w:eastAsia="仿宋_GB2312" w:cs="Times New Roman"/>
          <w:color w:val="000000"/>
          <w:kern w:val="0"/>
          <w:sz w:val="32"/>
          <w:szCs w:val="32"/>
        </w:rPr>
        <w:t>消费，推动传统零售商业企业数字化转型。培育24小时便利店、书店、影院、音乐酒吧、深夜食堂等多元化体验活动。加强生活服务质量监管，保障人民群众享有高品质生活。（责任单位：区商务和投促局、区住房建设委、区文化和旅游局、区交通运输局、区教体局）</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楷体_GB2312" w:cs="Times New Roman"/>
          <w:color w:val="000000"/>
          <w:kern w:val="0"/>
          <w:sz w:val="32"/>
          <w:szCs w:val="32"/>
        </w:rPr>
      </w:pPr>
      <w:r>
        <w:rPr>
          <w:rFonts w:hint="default" w:ascii="Times New Roman" w:hAnsi="Times New Roman" w:eastAsia="楷体_GB2312" w:cs="Times New Roman"/>
          <w:color w:val="000000"/>
          <w:kern w:val="0"/>
          <w:sz w:val="32"/>
          <w:szCs w:val="32"/>
        </w:rPr>
        <w:t>（十三）提高公共服务质量</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textAlignment w:val="auto"/>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推进行政审批制度改革创新，提高行政服务效能。鼓励提供助餐、助洁、助医、助急、助浴、助行等养老服务，探索互助性养老模式。推动优质医疗资源扩容和均衡布局，全面推动基层医疗机构标准化建设，增加家医签约服务供给、提升服务能力、强化服务内涵。开展应急演练，提升应急处置能力。加强公共配套设施适老化、适儿化、无障碍改造，提升优质公共服务供给能力。围绕医疗卫生、文体教育、文化服务、基本设施、市政服务（供电、供气、供热、供水服务）、社会保障（社会救助、社会福利）等方面开展公共服务质量监测试点工作，建立公众满意度评价制度，引导企事业单位提高服务质量，提升公共服务质量水平，更好满足市场和公众需求。（责任单位:区</w:t>
      </w:r>
      <w:r>
        <w:rPr>
          <w:rFonts w:ascii="Times New Roman" w:hAnsi="Times New Roman" w:eastAsia="仿宋_GB2312" w:cs="Times New Roman"/>
          <w:color w:val="000000"/>
          <w:kern w:val="0"/>
          <w:sz w:val="32"/>
          <w:szCs w:val="32"/>
        </w:rPr>
        <w:t>商务和投促局</w:t>
      </w:r>
      <w:r>
        <w:rPr>
          <w:rFonts w:hint="default" w:ascii="Times New Roman" w:hAnsi="Times New Roman" w:eastAsia="仿宋_GB2312" w:cs="Times New Roman"/>
          <w:color w:val="000000"/>
          <w:kern w:val="0"/>
          <w:sz w:val="32"/>
          <w:szCs w:val="32"/>
        </w:rPr>
        <w:t>、区教体局、区住房建设委、区文化和旅游局、区民政局、区卫生健康委、区政务服务办、区应急局）</w:t>
      </w:r>
    </w:p>
    <w:p>
      <w:pPr>
        <w:pStyle w:val="10"/>
        <w:keepNext w:val="0"/>
        <w:keepLines w:val="0"/>
        <w:pageBreakBefore w:val="0"/>
        <w:widowControl/>
        <w:shd w:val="clear" w:color="auto" w:fill="FFFFFF"/>
        <w:kinsoku/>
        <w:wordWrap/>
        <w:overflowPunct/>
        <w:topLinePunct w:val="0"/>
        <w:autoSpaceDE/>
        <w:autoSpaceDN/>
        <w:bidi w:val="0"/>
        <w:adjustRightInd/>
        <w:snapToGrid/>
        <w:spacing w:before="0" w:beforeLines="0" w:beforeAutospacing="0" w:after="0" w:afterLines="0" w:afterAutospacing="0" w:line="240" w:lineRule="auto"/>
        <w:ind w:firstLine="640" w:firstLineChars="200"/>
        <w:textAlignment w:val="auto"/>
        <w:rPr>
          <w:rFonts w:hint="default" w:ascii="Times New Roman" w:hAnsi="Times New Roman" w:eastAsia="黑体" w:cs="Times New Roman"/>
          <w:bCs/>
          <w:kern w:val="2"/>
          <w:sz w:val="32"/>
          <w:szCs w:val="32"/>
          <w:shd w:val="clear" w:color="auto" w:fill="FFFFFF"/>
        </w:rPr>
      </w:pPr>
      <w:r>
        <w:rPr>
          <w:rFonts w:hint="default" w:ascii="Times New Roman" w:hAnsi="Times New Roman" w:eastAsia="黑体" w:cs="Times New Roman"/>
          <w:bCs/>
          <w:kern w:val="2"/>
          <w:sz w:val="32"/>
          <w:szCs w:val="32"/>
          <w:shd w:val="clear" w:color="auto" w:fill="FFFFFF"/>
        </w:rPr>
        <w:t>六、扎实做好质量基础工作</w:t>
      </w:r>
    </w:p>
    <w:p>
      <w:pPr>
        <w:keepNext w:val="0"/>
        <w:keepLines w:val="0"/>
        <w:pageBreakBefore w:val="0"/>
        <w:kinsoku/>
        <w:wordWrap/>
        <w:overflowPunct/>
        <w:topLinePunct w:val="0"/>
        <w:autoSpaceDE/>
        <w:autoSpaceDN/>
        <w:bidi w:val="0"/>
        <w:adjustRightInd/>
        <w:snapToGrid/>
        <w:spacing w:before="0" w:beforeLines="0" w:after="0" w:afterLines="0" w:line="240" w:lineRule="auto"/>
        <w:ind w:firstLine="627" w:firstLineChars="196"/>
        <w:textAlignment w:val="auto"/>
        <w:rPr>
          <w:rFonts w:hint="default" w:ascii="Times New Roman" w:hAnsi="Times New Roman" w:eastAsia="楷体_GB2312" w:cs="Times New Roman"/>
          <w:sz w:val="32"/>
          <w:szCs w:val="32"/>
          <w:shd w:val="clear" w:color="auto" w:fill="FFFFFF"/>
        </w:rPr>
      </w:pPr>
      <w:r>
        <w:rPr>
          <w:rFonts w:hint="default" w:ascii="Times New Roman" w:hAnsi="Times New Roman" w:eastAsia="楷体_GB2312" w:cs="Times New Roman"/>
          <w:sz w:val="32"/>
          <w:szCs w:val="32"/>
          <w:shd w:val="clear" w:color="auto" w:fill="FFFFFF"/>
        </w:rPr>
        <w:t>（十四）提升企业质量管理水平</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sz w:val="32"/>
          <w:szCs w:val="32"/>
          <w:shd w:val="clear" w:color="auto" w:fill="FFFFFF"/>
        </w:rPr>
      </w:pPr>
      <w:r>
        <w:rPr>
          <w:rFonts w:hint="default" w:ascii="Times New Roman" w:hAnsi="Times New Roman" w:eastAsia="仿宋_GB2312" w:cs="Times New Roman"/>
          <w:sz w:val="32"/>
          <w:szCs w:val="32"/>
          <w:shd w:val="clear" w:color="auto" w:fill="FFFFFF"/>
        </w:rPr>
        <w:t>鼓励企业制定实施以质取胜生产经营战略，创新质量管理理念、方法、工具</w:t>
      </w:r>
      <w:r>
        <w:rPr>
          <w:rFonts w:ascii="Times New Roman" w:hAnsi="Times New Roman" w:eastAsia="仿宋_GB2312" w:cs="Times New Roman"/>
          <w:sz w:val="32"/>
          <w:szCs w:val="32"/>
          <w:shd w:val="clear" w:color="auto" w:fill="FFFFFF"/>
        </w:rPr>
        <w:t>，</w:t>
      </w:r>
      <w:r>
        <w:rPr>
          <w:rFonts w:hint="default" w:ascii="Times New Roman" w:hAnsi="Times New Roman" w:eastAsia="仿宋_GB2312" w:cs="Times New Roman"/>
          <w:sz w:val="32"/>
          <w:szCs w:val="32"/>
          <w:shd w:val="clear" w:color="auto" w:fill="FFFFFF"/>
        </w:rPr>
        <w:t>推动全员、全要素、全过程、全数据的新型质量管理体系应用。</w:t>
      </w:r>
      <w:r>
        <w:rPr>
          <w:rFonts w:ascii="Times New Roman" w:hAnsi="Times New Roman" w:eastAsia="仿宋_GB2312" w:cs="Times New Roman"/>
          <w:sz w:val="32"/>
          <w:szCs w:val="32"/>
          <w:shd w:val="clear" w:color="auto" w:fill="FFFFFF"/>
        </w:rPr>
        <w:t>进一步扩大滨海新区政府质量奖影响力，引导、激励全区各行业加强质量管理，促进提质增效升级。</w:t>
      </w:r>
      <w:r>
        <w:rPr>
          <w:rFonts w:hint="default" w:ascii="Times New Roman" w:hAnsi="Times New Roman" w:eastAsia="仿宋_GB2312" w:cs="Times New Roman"/>
          <w:sz w:val="32"/>
          <w:szCs w:val="32"/>
          <w:shd w:val="clear" w:color="auto" w:fill="FFFFFF"/>
        </w:rPr>
        <w:t>开展质量管理数字化赋能行动，引导企业应用人工智能、大数据等先进手段加强质量管理，促进新一代信息技术与质量管理融合应用，构建以数字化、网络化、智能化为基础的质量管理体系。实施企业质量管理体系“领跑者”计划，发挥链主企业带动作用，将上下游企业纳入共同的质量管理体系，推动实现质量数据共享、设备互联、生产有机协同。持续开展质量标杆遴选活动，发挥标杆企业引领示范带动作用，推广科学的质量管理制度、模式和方法，促进质量管理创新。持续开展小微企业质量管理体系认证提升行动。（责任单位：区市场监管局、区工业和信息化局）</w:t>
      </w:r>
    </w:p>
    <w:p>
      <w:pPr>
        <w:keepNext w:val="0"/>
        <w:keepLines w:val="0"/>
        <w:pageBreakBefore w:val="0"/>
        <w:kinsoku/>
        <w:wordWrap/>
        <w:overflowPunct/>
        <w:topLinePunct w:val="0"/>
        <w:autoSpaceDE/>
        <w:autoSpaceDN/>
        <w:bidi w:val="0"/>
        <w:adjustRightInd/>
        <w:snapToGrid/>
        <w:spacing w:before="0" w:beforeLines="0" w:after="0" w:afterLines="0" w:line="240" w:lineRule="auto"/>
        <w:ind w:firstLine="627" w:firstLineChars="196"/>
        <w:textAlignment w:val="auto"/>
        <w:rPr>
          <w:rFonts w:hint="default" w:ascii="Times New Roman" w:hAnsi="Times New Roman" w:eastAsia="楷体_GB2312" w:cs="Times New Roman"/>
          <w:sz w:val="32"/>
          <w:szCs w:val="32"/>
          <w:shd w:val="clear" w:color="auto" w:fill="FFFFFF"/>
        </w:rPr>
      </w:pPr>
      <w:r>
        <w:rPr>
          <w:rFonts w:hint="default" w:ascii="Times New Roman" w:hAnsi="Times New Roman" w:eastAsia="楷体_GB2312" w:cs="Times New Roman"/>
          <w:sz w:val="32"/>
          <w:szCs w:val="32"/>
          <w:shd w:val="clear" w:color="auto" w:fill="FFFFFF"/>
        </w:rPr>
        <w:t>（十五）重视质量人才培养</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sz w:val="32"/>
          <w:szCs w:val="32"/>
          <w:shd w:val="clear" w:color="auto" w:fill="FFFFFF"/>
        </w:rPr>
      </w:pPr>
      <w:r>
        <w:rPr>
          <w:rFonts w:hint="default" w:ascii="Times New Roman" w:hAnsi="Times New Roman" w:eastAsia="仿宋_GB2312" w:cs="Times New Roman"/>
          <w:sz w:val="32"/>
          <w:szCs w:val="32"/>
          <w:shd w:val="clear" w:color="auto" w:fill="FFFFFF"/>
        </w:rPr>
        <w:t>加强质量培训教育，推动企业首席质量官制度，充分发挥首席质量官在质量安全、质量提升、质量创新、质量方法推广和质量文化建设等方面的智囊作用、纽带作用和决定作用，不断完善首席质量官培养、聘用、履职、管理等制度体系，持续提升企业质量管理水平，增强企业核心竞争力。重视质量经理、质量工程师、质量技术能手队伍建设，培养一批高技能人才。（责任单位：区市场监管局、区人</w:t>
      </w:r>
      <w:r>
        <w:rPr>
          <w:rFonts w:ascii="Times New Roman" w:hAnsi="Times New Roman" w:eastAsia="仿宋_GB2312" w:cs="Times New Roman"/>
          <w:sz w:val="32"/>
          <w:szCs w:val="32"/>
          <w:shd w:val="clear" w:color="auto" w:fill="FFFFFF"/>
        </w:rPr>
        <w:t>社</w:t>
      </w:r>
      <w:r>
        <w:rPr>
          <w:rFonts w:hint="default" w:ascii="Times New Roman" w:hAnsi="Times New Roman" w:eastAsia="仿宋_GB2312" w:cs="Times New Roman"/>
          <w:sz w:val="32"/>
          <w:szCs w:val="32"/>
          <w:shd w:val="clear" w:color="auto" w:fill="FFFFFF"/>
        </w:rPr>
        <w:t>局）</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hint="default" w:ascii="Times New Roman" w:hAnsi="Times New Roman" w:eastAsia="楷体_GB2312" w:cs="Times New Roman"/>
          <w:sz w:val="32"/>
          <w:szCs w:val="32"/>
          <w:shd w:val="clear" w:color="auto" w:fill="FFFFFF"/>
        </w:rPr>
      </w:pPr>
      <w:r>
        <w:rPr>
          <w:rFonts w:hint="default" w:ascii="Times New Roman" w:hAnsi="Times New Roman" w:eastAsia="楷体_GB2312" w:cs="Times New Roman"/>
          <w:sz w:val="32"/>
          <w:szCs w:val="32"/>
          <w:shd w:val="clear" w:color="auto" w:fill="FFFFFF"/>
        </w:rPr>
        <w:t>（十六）加强质量基础设施建设</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ascii="Times New Roman" w:hAnsi="Times New Roman" w:eastAsia="仿宋_GB2312" w:cs="Times New Roman"/>
          <w:sz w:val="32"/>
          <w:szCs w:val="32"/>
          <w:shd w:val="clear" w:color="auto" w:fill="FFFFFF"/>
        </w:rPr>
      </w:pPr>
      <w:r>
        <w:rPr>
          <w:rFonts w:hint="default" w:ascii="Times New Roman" w:hAnsi="Times New Roman" w:eastAsia="仿宋_GB2312" w:cs="Times New Roman"/>
          <w:sz w:val="32"/>
          <w:szCs w:val="32"/>
          <w:shd w:val="clear" w:color="auto" w:fill="FFFFFF"/>
        </w:rPr>
        <w:t>实施质量基础建设能力提升行动，加强新领域量传溯源所需技术与方法，高精度计量仪器研究，在前沿、共性和关键技术领域加强标准研制，加快认证技术研究由单一要素向系统性、集成化方向发展。实施质量技术机构能力升级工程，加快建设质量标准实验室，打造重点优势产业计量测试服务平台，推动检验检测认证公共服务平台示范区建设。着力推动检验检测认证机构规模化、品牌化、专业化发展，鼓励通过整合、并购做大做强，打造天津知名品牌。</w:t>
      </w:r>
      <w:r>
        <w:rPr>
          <w:rFonts w:ascii="Times New Roman" w:hAnsi="Times New Roman" w:eastAsia="仿宋_GB2312" w:cs="Times New Roman"/>
          <w:sz w:val="32"/>
          <w:szCs w:val="32"/>
          <w:shd w:val="clear" w:color="auto" w:fill="FFFFFF"/>
        </w:rPr>
        <w:t>以绿色港口、低碳港口为依托，深度整合区域计量、标准、认证、检验检测、质量管理等领域优势资源与技术，</w:t>
      </w:r>
      <w:r>
        <w:rPr>
          <w:rFonts w:hint="default" w:ascii="Times New Roman" w:hAnsi="Times New Roman" w:eastAsia="仿宋_GB2312" w:cs="Times New Roman"/>
          <w:sz w:val="32"/>
          <w:szCs w:val="32"/>
          <w:shd w:val="clear" w:color="auto" w:fill="FFFFFF"/>
        </w:rPr>
        <w:t>鼓励增加计量检定校准、高端计量仪器、检验检测设备设施等投入，鼓励社会各方共同参与质量基础设施建设，推动质量基础“一站式”服务提升。（责任单位：区市场监管局、区发展改革委、区财政局、区工业和信息化局、区农业农村委）</w:t>
      </w:r>
    </w:p>
    <w:p>
      <w:pPr>
        <w:keepNext w:val="0"/>
        <w:keepLines w:val="0"/>
        <w:pageBreakBefore w:val="0"/>
        <w:kinsoku/>
        <w:wordWrap/>
        <w:overflowPunct/>
        <w:topLinePunct w:val="0"/>
        <w:autoSpaceDE/>
        <w:autoSpaceDN/>
        <w:bidi w:val="0"/>
        <w:adjustRightInd/>
        <w:snapToGrid/>
        <w:spacing w:before="0" w:beforeLines="0" w:after="0" w:afterLines="0" w:line="240" w:lineRule="auto"/>
        <w:ind w:firstLine="627" w:firstLineChars="196"/>
        <w:textAlignment w:val="auto"/>
        <w:rPr>
          <w:rFonts w:hint="default" w:ascii="Times New Roman" w:hAnsi="Times New Roman" w:eastAsia="楷体_GB2312" w:cs="Times New Roman"/>
          <w:sz w:val="32"/>
          <w:szCs w:val="32"/>
          <w:shd w:val="clear" w:color="auto" w:fill="FFFFFF"/>
        </w:rPr>
      </w:pPr>
      <w:r>
        <w:rPr>
          <w:rFonts w:hint="default" w:ascii="Times New Roman" w:hAnsi="Times New Roman" w:eastAsia="楷体_GB2312" w:cs="Times New Roman"/>
          <w:sz w:val="32"/>
          <w:szCs w:val="32"/>
          <w:shd w:val="clear" w:color="auto" w:fill="FFFFFF"/>
        </w:rPr>
        <w:t>（十七）加强质量基础能力建设</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hAnsi="Times New Roman" w:eastAsia="仿宋_GB2312" w:cs="Times New Roman"/>
          <w:sz w:val="32"/>
          <w:szCs w:val="32"/>
          <w:shd w:val="clear" w:color="auto" w:fill="FFFFFF"/>
        </w:rPr>
      </w:pPr>
      <w:r>
        <w:rPr>
          <w:rFonts w:hint="default" w:ascii="Times New Roman" w:hAnsi="Times New Roman" w:eastAsia="仿宋_GB2312" w:cs="Times New Roman"/>
          <w:sz w:val="32"/>
          <w:szCs w:val="32"/>
          <w:shd w:val="clear" w:color="auto" w:fill="FFFFFF"/>
        </w:rPr>
        <w:t>深化标准化工作改革，强化地方标准供给质量提升，加强与国家层面标准协调配套，推进标准化国际交流合作。夯实精准计量基础，引导企业建立健全计量检测体系，提升科技研发和精密制造水平，培育计量科技服务平台，推动计量技术应用。深化检验检测机构市场化改革，推动检验检测机构转企改制，加强公益性机构功能性定位、专业化建设、促进检验检测市场逐步开放。深化检验检测认证机构资质审批制度改革，推行检验检测机构告知承诺，简化检验检测机构人员信息变更办理程序，加强检验检测认证机构监管。（责任单位：区市场监管局）</w:t>
      </w:r>
    </w:p>
    <w:p>
      <w:pPr>
        <w:keepNext w:val="0"/>
        <w:keepLines w:val="0"/>
        <w:pageBreakBefore w:val="0"/>
        <w:kinsoku/>
        <w:wordWrap/>
        <w:overflowPunct/>
        <w:topLinePunct w:val="0"/>
        <w:autoSpaceDE/>
        <w:autoSpaceDN/>
        <w:bidi w:val="0"/>
        <w:adjustRightInd/>
        <w:snapToGrid/>
        <w:spacing w:before="0" w:beforeLines="0" w:after="0" w:afterLines="0" w:line="240" w:lineRule="auto"/>
        <w:ind w:firstLine="580"/>
        <w:jc w:val="left"/>
        <w:textAlignment w:val="auto"/>
        <w:rPr>
          <w:rFonts w:hint="default" w:ascii="Times New Roman" w:hAnsi="Times New Roman" w:eastAsia="黑体" w:cs="Times New Roman"/>
          <w:bCs/>
          <w:color w:val="000000"/>
          <w:sz w:val="32"/>
          <w:szCs w:val="32"/>
        </w:rPr>
      </w:pPr>
      <w:r>
        <w:rPr>
          <w:rFonts w:hint="default" w:ascii="Times New Roman" w:hAnsi="Times New Roman" w:eastAsia="黑体" w:cs="Times New Roman"/>
          <w:bCs/>
          <w:color w:val="000000"/>
          <w:sz w:val="32"/>
          <w:szCs w:val="32"/>
        </w:rPr>
        <w:t>七、构建高效质量治理体系</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27" w:firstLineChars="196"/>
        <w:jc w:val="left"/>
        <w:textAlignment w:val="auto"/>
        <w:rPr>
          <w:rFonts w:hint="default" w:ascii="Times New Roman" w:hAnsi="Times New Roman" w:eastAsia="楷体_GB2312" w:cs="Times New Roman"/>
          <w:color w:val="000000"/>
          <w:sz w:val="32"/>
          <w:szCs w:val="32"/>
        </w:rPr>
      </w:pPr>
      <w:r>
        <w:rPr>
          <w:rFonts w:hint="default" w:ascii="Times New Roman" w:hAnsi="Times New Roman" w:eastAsia="楷体_GB2312" w:cs="Times New Roman"/>
          <w:color w:val="000000"/>
          <w:sz w:val="32"/>
          <w:szCs w:val="32"/>
        </w:rPr>
        <w:t>（十八）加强质量法治环境建设</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积极推进食品安全、标准化、知识产权保护、质量基础设施等重点领域的法治环境建设。加大实体市场、网络市场违法查处力度和质量违法案件曝光力度，推动跨行业、跨区域执法协作，完</w:t>
      </w:r>
      <w:r>
        <w:rPr>
          <w:rFonts w:ascii="Times New Roman" w:hAnsi="Times New Roman" w:eastAsia="仿宋_GB2312" w:cs="Times New Roman"/>
          <w:color w:val="000000"/>
          <w:sz w:val="32"/>
          <w:szCs w:val="32"/>
        </w:rPr>
        <w:t>善</w:t>
      </w:r>
      <w:r>
        <w:rPr>
          <w:rFonts w:hint="default" w:ascii="Times New Roman" w:hAnsi="Times New Roman" w:eastAsia="仿宋_GB2312" w:cs="Times New Roman"/>
          <w:color w:val="000000"/>
          <w:sz w:val="32"/>
          <w:szCs w:val="32"/>
        </w:rPr>
        <w:t>不同层级部门执法联动机制，增强纵向联动执法合力，推动行政执法和刑事案件协同办理模式。健全产品和服务质量担保与争议处理机制，推行第三方质量争议仲裁。加强质量法治宣传教育，普及质量法律知识。（责任单位：区市场监管局、区公安局、区住房建设委、区农业农村委</w:t>
      </w:r>
      <w:r>
        <w:rPr>
          <w:rFonts w:ascii="Times New Roman" w:hAnsi="Times New Roman" w:eastAsia="仿宋_GB2312" w:cs="Times New Roman"/>
          <w:color w:val="000000"/>
          <w:sz w:val="32"/>
          <w:szCs w:val="32"/>
        </w:rPr>
        <w:t>、区知识产权局</w:t>
      </w:r>
      <w:r>
        <w:rPr>
          <w:rFonts w:hint="default" w:ascii="Times New Roman" w:hAnsi="Times New Roman" w:eastAsia="仿宋_GB2312" w:cs="Times New Roman"/>
          <w:color w:val="000000"/>
          <w:sz w:val="32"/>
          <w:szCs w:val="32"/>
        </w:rPr>
        <w:t>）</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27" w:firstLineChars="196"/>
        <w:jc w:val="left"/>
        <w:textAlignment w:val="auto"/>
        <w:rPr>
          <w:rFonts w:hint="default" w:ascii="Times New Roman" w:hAnsi="Times New Roman" w:eastAsia="楷体_GB2312" w:cs="Times New Roman"/>
          <w:color w:val="000000"/>
          <w:sz w:val="32"/>
          <w:szCs w:val="32"/>
        </w:rPr>
      </w:pPr>
      <w:r>
        <w:rPr>
          <w:rFonts w:hint="default" w:ascii="Times New Roman" w:hAnsi="Times New Roman" w:eastAsia="楷体_GB2312" w:cs="Times New Roman"/>
          <w:color w:val="000000"/>
          <w:sz w:val="32"/>
          <w:szCs w:val="32"/>
        </w:rPr>
        <w:t>（十九）优化质量监管效能</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建立健全以信用监管为基础、以“双随机、一公开”</w:t>
      </w:r>
      <w:r>
        <w:rPr>
          <w:rFonts w:ascii="Times New Roman" w:hAnsi="Times New Roman" w:eastAsia="仿宋_GB2312" w:cs="Times New Roman"/>
          <w:color w:val="000000"/>
          <w:sz w:val="32"/>
          <w:szCs w:val="32"/>
        </w:rPr>
        <w:t>和“互联网+监管”</w:t>
      </w:r>
      <w:r>
        <w:rPr>
          <w:rFonts w:hint="default" w:ascii="Times New Roman" w:hAnsi="Times New Roman" w:eastAsia="仿宋_GB2312" w:cs="Times New Roman"/>
          <w:color w:val="000000"/>
          <w:sz w:val="32"/>
          <w:szCs w:val="32"/>
        </w:rPr>
        <w:t>为基本手段、以重点监管为补充的新型监管机制。创新质量监管方式，深入实施市场准入制度负面清单制度，落实“全国一张单”管理模式，以服务业为重点进一步放宽准入限制，</w:t>
      </w:r>
      <w:r>
        <w:rPr>
          <w:rFonts w:ascii="Times New Roman" w:hAnsi="Times New Roman" w:eastAsia="仿宋_GB2312" w:cs="Times New Roman"/>
          <w:color w:val="000000"/>
          <w:sz w:val="32"/>
          <w:szCs w:val="32"/>
        </w:rPr>
        <w:t>配合工业产品</w:t>
      </w:r>
      <w:r>
        <w:rPr>
          <w:rFonts w:hint="default" w:ascii="Times New Roman" w:hAnsi="Times New Roman" w:eastAsia="仿宋_GB2312" w:cs="Times New Roman"/>
          <w:color w:val="000000"/>
          <w:sz w:val="32"/>
          <w:szCs w:val="32"/>
        </w:rPr>
        <w:t>生产许可证制度改革，强化事中事后监管。</w:t>
      </w:r>
      <w:r>
        <w:rPr>
          <w:rFonts w:ascii="Times New Roman" w:hAnsi="Times New Roman" w:eastAsia="仿宋_GB2312" w:cs="Times New Roman"/>
          <w:color w:val="000000"/>
          <w:sz w:val="32"/>
          <w:szCs w:val="32"/>
        </w:rPr>
        <w:t>按照国家强制性认证制度改革要求，对强制性产品认证活动实施监督检查。</w:t>
      </w:r>
      <w:r>
        <w:rPr>
          <w:rFonts w:hint="default" w:ascii="Times New Roman" w:hAnsi="Times New Roman" w:eastAsia="仿宋_GB2312" w:cs="Times New Roman"/>
          <w:color w:val="000000"/>
          <w:sz w:val="32"/>
          <w:szCs w:val="32"/>
        </w:rPr>
        <w:t>完善产品质量监督抽查制度，加强工业品和消费品质量监督检查，推动实现生产流通线上线下一体化抽查。对重点产品实施企业抽查全覆盖，强化监督抽查结果处理。完善缺陷消费品召回管理办法，加强缺陷产品召回管理。完善重要产品追溯体系，加强产品防伪监督管理。建立健全包容审慎监管制度体系，实施轻微违法行为免罚制度，建立新动能新产业敏捷治理模式。建立健全高标准市场体系基础制度，推进公平竞争市场体系建设，形成现代化的市场秩序治理体系。建立健全网络交易监督制度，强化网络平台销售商品质量监管。（责任单位：区市场监管局）</w:t>
      </w:r>
    </w:p>
    <w:p>
      <w:pPr>
        <w:keepNext w:val="0"/>
        <w:keepLines w:val="0"/>
        <w:pageBreakBefore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hint="default" w:ascii="Times New Roman" w:hAnsi="Times New Roman" w:eastAsia="楷体_GB2312" w:cs="Times New Roman"/>
          <w:color w:val="000000"/>
          <w:sz w:val="32"/>
          <w:szCs w:val="32"/>
        </w:rPr>
      </w:pPr>
      <w:r>
        <w:rPr>
          <w:rFonts w:hint="default" w:ascii="Times New Roman" w:hAnsi="Times New Roman" w:eastAsia="楷体_GB2312" w:cs="Times New Roman"/>
          <w:color w:val="000000"/>
          <w:sz w:val="32"/>
          <w:szCs w:val="32"/>
        </w:rPr>
        <w:t>（二十）推动多元质量共治</w:t>
      </w:r>
    </w:p>
    <w:p>
      <w:pPr>
        <w:keepNext w:val="0"/>
        <w:keepLines w:val="0"/>
        <w:pageBreakBefore w:val="0"/>
        <w:widowControl w:val="0"/>
        <w:tabs>
          <w:tab w:val="left" w:pos="4000"/>
        </w:tabs>
        <w:kinsoku/>
        <w:wordWrap/>
        <w:overflowPunct/>
        <w:topLinePunct w:val="0"/>
        <w:autoSpaceDE/>
        <w:autoSpaceDN/>
        <w:bidi w:val="0"/>
        <w:adjustRightInd/>
        <w:snapToGrid/>
        <w:spacing w:before="0" w:beforeLines="0" w:after="0" w:afterLines="0" w:line="240" w:lineRule="auto"/>
        <w:ind w:firstLine="640" w:firstLineChars="200"/>
        <w:jc w:val="left"/>
        <w:textAlignment w:val="auto"/>
        <w:rPr>
          <w:rFonts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创新质量治理模式，构建“企业自治、行业自律、社会监督、政府监管”的多元质量共治机制。深入开展质量提升行动，组织企业开展质量攻关活动，推广先进质量管理办法，促进企业提质增效、降耗减损。支持群体组织、一线班组开展质量改进、质量攻关、质量管理小组等多种形式的群众性质量管理活动。鼓励行业协会、学会及消费者组织等开展行业标准制定、行业自律规范制定、品牌建设、质量管理等技术服务，建立行业质量诚信体系。引导消费者树立绿色健康安全消费理念，主动参与质量促进、社会监督等活动。充分发挥新闻媒体质量舆论宣传的主渠道作用，深入报道全区质量提升的丰富实践、重大成就、先进典型。深入开展全民质量行动，精心策划重大宣传主题和重大宣教行动，不断增强全社会的质量意识。大力弘扬具有滨海特色的先进质量文化。（责任单位：区委宣传部、区市场监管局、区民政局、区总工会、团区委）</w:t>
      </w:r>
    </w:p>
    <w:p>
      <w:pPr>
        <w:keepNext w:val="0"/>
        <w:keepLines w:val="0"/>
        <w:pageBreakBefore w:val="0"/>
        <w:kinsoku/>
        <w:wordWrap/>
        <w:overflowPunct/>
        <w:topLinePunct w:val="0"/>
        <w:autoSpaceDE/>
        <w:autoSpaceDN/>
        <w:bidi w:val="0"/>
        <w:adjustRightInd/>
        <w:snapToGrid/>
        <w:spacing w:before="0" w:beforeLines="0" w:after="0" w:afterLines="0" w:line="240" w:lineRule="auto"/>
        <w:ind w:firstLine="640" w:firstLineChars="200"/>
        <w:textAlignment w:val="auto"/>
        <w:outlineLvl w:val="0"/>
        <w:rPr>
          <w:rFonts w:hint="default" w:ascii="Times New Roman" w:hAnsi="Times New Roman" w:eastAsia="黑体" w:cs="Times New Roman"/>
          <w:bCs/>
          <w:sz w:val="32"/>
          <w:szCs w:val="32"/>
        </w:rPr>
      </w:pPr>
      <w:r>
        <w:rPr>
          <w:rFonts w:hint="default" w:ascii="Times New Roman" w:hAnsi="Times New Roman" w:eastAsia="黑体" w:cs="Times New Roman"/>
          <w:bCs/>
          <w:sz w:val="32"/>
          <w:szCs w:val="32"/>
        </w:rPr>
        <w:t>八、加强质量工作组织领导</w:t>
      </w:r>
    </w:p>
    <w:p>
      <w:pPr>
        <w:keepNext w:val="0"/>
        <w:keepLines w:val="0"/>
        <w:pageBreakBefore w:val="0"/>
        <w:kinsoku/>
        <w:wordWrap/>
        <w:overflowPunct/>
        <w:topLinePunct w:val="0"/>
        <w:autoSpaceDE/>
        <w:autoSpaceDN/>
        <w:bidi w:val="0"/>
        <w:adjustRightInd/>
        <w:snapToGrid/>
        <w:spacing w:before="0" w:beforeLines="0" w:after="0" w:afterLines="0" w:line="240" w:lineRule="auto"/>
        <w:ind w:firstLine="640" w:firstLineChars="200"/>
        <w:textAlignment w:val="auto"/>
        <w:outlineLvl w:val="1"/>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（二十一）加强党对质量工作的领导</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outlineLvl w:val="1"/>
        <w:rPr>
          <w:rFonts w:hint="default" w:ascii="Times New Roman" w:eastAsia="仿宋_GB2312"/>
          <w:sz w:val="32"/>
          <w:szCs w:val="32"/>
        </w:rPr>
      </w:pPr>
      <w:r>
        <w:rPr>
          <w:rFonts w:hint="default" w:ascii="Times New Roman" w:eastAsia="仿宋_GB2312"/>
          <w:sz w:val="32"/>
          <w:szCs w:val="32"/>
        </w:rPr>
        <w:t>坚持党对质量工作的全面领导，把党的领导贯彻到质量工作的各领域各方面各环节，确保党中央决策部署和习近平总书记重要指示精神高效落地。按照区委各项决策部署，建立政府统筹协调、部门科学监管、企业主体作用充分发挥的大质量工作机制。加强新区质量强区建设协调推进领导小组的协调、组织作用</w:t>
      </w:r>
      <w:r>
        <w:rPr>
          <w:rFonts w:ascii="Times New Roman" w:eastAsia="仿宋_GB2312"/>
          <w:sz w:val="32"/>
          <w:szCs w:val="32"/>
        </w:rPr>
        <w:t>，</w:t>
      </w:r>
      <w:r>
        <w:rPr>
          <w:rFonts w:hint="default" w:ascii="Times New Roman" w:eastAsia="仿宋_GB2312"/>
          <w:sz w:val="32"/>
          <w:szCs w:val="32"/>
        </w:rPr>
        <w:t>解决质量工作中的重大问题，统筹质量发展规划制定和质量强区、品牌建设、质量基础建设工作，整体</w:t>
      </w:r>
      <w:r>
        <w:rPr>
          <w:rFonts w:ascii="Times New Roman" w:eastAsia="仿宋_GB2312"/>
          <w:sz w:val="32"/>
          <w:szCs w:val="32"/>
        </w:rPr>
        <w:t>推动</w:t>
      </w:r>
      <w:r>
        <w:rPr>
          <w:rFonts w:hint="default" w:ascii="Times New Roman" w:eastAsia="仿宋_GB2312"/>
          <w:sz w:val="32"/>
          <w:szCs w:val="32"/>
        </w:rPr>
        <w:t>区域质量工作的开展。</w:t>
      </w:r>
    </w:p>
    <w:p>
      <w:pPr>
        <w:keepNext w:val="0"/>
        <w:keepLines w:val="0"/>
        <w:pageBreakBefore w:val="0"/>
        <w:kinsoku/>
        <w:wordWrap/>
        <w:overflowPunct/>
        <w:topLinePunct w:val="0"/>
        <w:autoSpaceDE/>
        <w:autoSpaceDN/>
        <w:bidi w:val="0"/>
        <w:adjustRightInd/>
        <w:snapToGrid/>
        <w:spacing w:before="0" w:beforeLines="0" w:after="0" w:afterLines="0" w:line="240" w:lineRule="auto"/>
        <w:ind w:firstLine="640" w:firstLineChars="200"/>
        <w:textAlignment w:val="auto"/>
        <w:outlineLvl w:val="1"/>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（二十二）狠抓督查考核</w:t>
      </w:r>
    </w:p>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firstLine="640" w:firstLineChars="200"/>
        <w:textAlignment w:val="auto"/>
        <w:rPr>
          <w:rFonts w:ascii="Times New Roman" w:eastAsia="仿宋_GB2312"/>
          <w:sz w:val="32"/>
          <w:szCs w:val="32"/>
        </w:rPr>
      </w:pPr>
      <w:r>
        <w:rPr>
          <w:rFonts w:hint="default" w:ascii="Times New Roman" w:eastAsia="仿宋_GB2312"/>
          <w:sz w:val="32"/>
          <w:szCs w:val="32"/>
        </w:rPr>
        <w:t>要将</w:t>
      </w:r>
      <w:r>
        <w:rPr>
          <w:rFonts w:ascii="Times New Roman" w:eastAsia="仿宋_GB2312"/>
          <w:sz w:val="32"/>
          <w:szCs w:val="32"/>
        </w:rPr>
        <w:t>质量强区建设</w:t>
      </w:r>
      <w:r>
        <w:rPr>
          <w:rFonts w:hint="default" w:ascii="Times New Roman" w:eastAsia="仿宋_GB2312"/>
          <w:sz w:val="32"/>
          <w:szCs w:val="32"/>
        </w:rPr>
        <w:t>列入重要议事议程，按照抓深、抓细、抓实的要求，层层压实主体责任、领导责任、部门责任，强化责任问责机制，保障质量强区</w:t>
      </w:r>
      <w:r>
        <w:rPr>
          <w:rFonts w:ascii="Times New Roman" w:eastAsia="仿宋_GB2312"/>
          <w:sz w:val="32"/>
          <w:szCs w:val="32"/>
        </w:rPr>
        <w:t>建设</w:t>
      </w:r>
      <w:r>
        <w:rPr>
          <w:rFonts w:hint="default" w:ascii="Times New Roman" w:eastAsia="仿宋_GB2312"/>
          <w:sz w:val="32"/>
          <w:szCs w:val="32"/>
        </w:rPr>
        <w:t>各项目标的有效落实。</w:t>
      </w:r>
      <w:r>
        <w:rPr>
          <w:rFonts w:ascii="Times New Roman" w:eastAsia="仿宋_GB2312"/>
          <w:color w:val="000000"/>
          <w:sz w:val="32"/>
          <w:szCs w:val="32"/>
        </w:rPr>
        <w:t>将</w:t>
      </w:r>
      <w:r>
        <w:rPr>
          <w:rFonts w:hint="default" w:ascii="Times New Roman" w:eastAsia="仿宋_GB2312"/>
          <w:color w:val="000000"/>
          <w:sz w:val="32"/>
          <w:szCs w:val="32"/>
        </w:rPr>
        <w:t>天津市对区政府质量考核</w:t>
      </w:r>
      <w:r>
        <w:rPr>
          <w:rFonts w:ascii="Times New Roman" w:eastAsia="仿宋_GB2312"/>
          <w:color w:val="000000"/>
          <w:sz w:val="32"/>
          <w:szCs w:val="32"/>
        </w:rPr>
        <w:t>结果</w:t>
      </w:r>
      <w:r>
        <w:rPr>
          <w:rFonts w:hint="default" w:ascii="Times New Roman" w:eastAsia="仿宋_GB2312"/>
          <w:color w:val="000000"/>
          <w:sz w:val="32"/>
          <w:szCs w:val="32"/>
        </w:rPr>
        <w:t>作为领导班子建设和领导</w:t>
      </w:r>
      <w:r>
        <w:rPr>
          <w:rFonts w:hint="default" w:ascii="Times New Roman" w:eastAsia="仿宋_GB2312"/>
          <w:sz w:val="32"/>
          <w:szCs w:val="32"/>
        </w:rPr>
        <w:t>干部选拔任用的参考依据。加大警示问责和督导整改力度，确保</w:t>
      </w:r>
      <w:r>
        <w:rPr>
          <w:rFonts w:ascii="Times New Roman" w:eastAsia="仿宋_GB2312"/>
          <w:sz w:val="32"/>
          <w:szCs w:val="32"/>
        </w:rPr>
        <w:t>建设纲要</w:t>
      </w:r>
      <w:r>
        <w:rPr>
          <w:rFonts w:hint="default" w:ascii="Times New Roman" w:eastAsia="仿宋_GB2312"/>
          <w:sz w:val="32"/>
          <w:szCs w:val="32"/>
        </w:rPr>
        <w:t>各项目标任务如期实现，推动新区经济社会高质量发展。</w:t>
      </w:r>
    </w:p>
    <w:p>
      <w:pPr>
        <w:keepNext w:val="0"/>
        <w:keepLines w:val="0"/>
        <w:pageBreakBefore w:val="0"/>
        <w:kinsoku/>
        <w:wordWrap/>
        <w:overflowPunct/>
        <w:topLinePunct w:val="0"/>
        <w:autoSpaceDE/>
        <w:autoSpaceDN/>
        <w:bidi w:val="0"/>
        <w:adjustRightInd/>
        <w:snapToGrid/>
        <w:spacing w:line="240" w:lineRule="auto"/>
        <w:textAlignment w:val="auto"/>
        <w:rPr>
          <w:rFonts w:ascii="Times New Roman" w:hAnsi="Times New Roman" w:eastAsia="黑体"/>
          <w:sz w:val="32"/>
          <w:szCs w:val="32"/>
        </w:rPr>
      </w:pPr>
    </w:p>
    <w:p>
      <w:pPr>
        <w:pStyle w:val="2"/>
        <w:rPr>
          <w:rFonts w:ascii="Times New Roman" w:hAnsi="Times New Roman" w:eastAsia="黑体"/>
          <w:sz w:val="32"/>
          <w:szCs w:val="32"/>
        </w:rPr>
      </w:pPr>
    </w:p>
    <w:p>
      <w:pPr>
        <w:pStyle w:val="2"/>
        <w:rPr>
          <w:rFonts w:ascii="Times New Roman" w:hAnsi="Times New Roman" w:eastAsia="黑体"/>
          <w:sz w:val="32"/>
          <w:szCs w:val="32"/>
        </w:rPr>
      </w:pPr>
    </w:p>
    <w:p>
      <w:pPr>
        <w:pStyle w:val="2"/>
        <w:rPr>
          <w:rFonts w:ascii="Times New Roman" w:hAnsi="Times New Roman" w:eastAsia="黑体"/>
          <w:sz w:val="32"/>
          <w:szCs w:val="32"/>
        </w:rPr>
      </w:pPr>
    </w:p>
    <w:p>
      <w:pPr>
        <w:pStyle w:val="2"/>
        <w:rPr>
          <w:rFonts w:ascii="Times New Roman" w:hAnsi="Times New Roman" w:eastAsia="黑体"/>
          <w:sz w:val="32"/>
          <w:szCs w:val="32"/>
        </w:rPr>
      </w:pPr>
    </w:p>
    <w:p>
      <w:pPr>
        <w:pStyle w:val="2"/>
        <w:spacing w:line="240" w:lineRule="exact"/>
        <w:rPr>
          <w:rFonts w:ascii="Times New Roman" w:hAnsi="Times New Roman" w:eastAsia="黑体"/>
          <w:sz w:val="32"/>
          <w:szCs w:val="32"/>
        </w:rPr>
      </w:pPr>
    </w:p>
    <w:p>
      <w:pPr>
        <w:spacing w:line="240" w:lineRule="exact"/>
        <w:rPr>
          <w:rFonts w:ascii="Times New Roman" w:hAnsi="Times New Roman" w:eastAsia="黑体"/>
          <w:sz w:val="32"/>
          <w:szCs w:val="32"/>
        </w:rPr>
      </w:pPr>
    </w:p>
    <w:p>
      <w:pPr>
        <w:spacing w:line="20" w:lineRule="exact"/>
        <w:rPr>
          <w:sz w:val="28"/>
          <w:szCs w:val="28"/>
        </w:rPr>
      </w:pPr>
    </w:p>
    <w:sectPr>
      <w:footerReference r:id="rId3" w:type="default"/>
      <w:footerReference r:id="rId4" w:type="even"/>
      <w:pgSz w:w="11906" w:h="16838"/>
      <w:pgMar w:top="2098" w:right="1474" w:bottom="1984" w:left="1588" w:header="851" w:footer="1417"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Arial Unicode MS">
    <w:altName w:val="Nimbus Roman No9 L"/>
    <w:panose1 w:val="020B0604020002020204"/>
    <w:charset w:val="86"/>
    <w:family w:val="swiss"/>
    <w:pitch w:val="default"/>
    <w:sig w:usb0="00000000" w:usb1="00000000" w:usb2="0000003F" w:usb3="00000000" w:csb0="603F01FF" w:csb1="FFFF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华文中宋">
    <w:altName w:val="汉仪中宋简"/>
    <w:panose1 w:val="02010600040001010101"/>
    <w:charset w:val="86"/>
    <w:family w:val="auto"/>
    <w:pitch w:val="default"/>
    <w:sig w:usb0="00000000" w:usb1="00000000" w:usb2="00000000" w:usb3="00000000" w:csb0="0004009F" w:csb1="DFD7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汉仪中宋简">
    <w:panose1 w:val="02010600000101010101"/>
    <w:charset w:val="86"/>
    <w:family w:val="auto"/>
    <w:pitch w:val="default"/>
    <w:sig w:usb0="00000001" w:usb1="080E0800" w:usb2="00000002"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wordWrap w:val="0"/>
      <w:ind w:right="360" w:firstLine="360"/>
      <w:jc w:val="left"/>
      <w:rPr>
        <w:rFonts w:ascii="仿宋_GB2312" w:eastAsia="仿宋_GB2312"/>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right="360" w:firstLine="140" w:firstLineChars="50"/>
      <w:rPr>
        <w:rFonts w:ascii="仿宋_GB2312" w:eastAsia="仿宋_GB2312"/>
        <w:sz w:val="28"/>
        <w:szCs w:val="28"/>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true"/>
  <w:documentProtection w:enforcement="0"/>
  <w:defaultTabStop w:val="420"/>
  <w:evenAndOddHeaders w:val="true"/>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5F7AEA2"/>
    <w:rsid w:val="3B89CDF3"/>
    <w:rsid w:val="6C7A57D3"/>
    <w:rsid w:val="6D3D496F"/>
    <w:rsid w:val="7BEB73CE"/>
    <w:rsid w:val="7BF273B5"/>
    <w:rsid w:val="B7FB1268"/>
    <w:rsid w:val="C9BFFF34"/>
    <w:rsid w:val="DDF5079F"/>
    <w:rsid w:val="EFBE01FB"/>
    <w:rsid w:val="F5FE4E1E"/>
    <w:rsid w:val="FE7FF188"/>
    <w:rsid w:val="FEEFD849"/>
    <w:rsid w:val="FFFD5D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qFormat="1"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4"/>
    <w:qFormat/>
    <w:uiPriority w:val="0"/>
    <w:pPr>
      <w:keepNext/>
      <w:keepLines/>
      <w:spacing w:before="340" w:after="330" w:line="578" w:lineRule="auto"/>
      <w:outlineLvl w:val="0"/>
    </w:pPr>
    <w:rPr>
      <w:b/>
      <w:bCs/>
      <w:kern w:val="44"/>
      <w:sz w:val="44"/>
      <w:szCs w:val="44"/>
    </w:rPr>
  </w:style>
  <w:style w:type="character" w:default="1" w:styleId="12">
    <w:name w:val="Default Paragraph Font"/>
    <w:qFormat/>
    <w:uiPriority w:val="1"/>
  </w:style>
  <w:style w:type="table" w:default="1" w:styleId="11">
    <w:name w:val="Normal Table"/>
    <w:qFormat/>
    <w:uiPriority w:val="99"/>
    <w:tblPr>
      <w:tblCellMar>
        <w:top w:w="0" w:type="dxa"/>
        <w:left w:w="108" w:type="dxa"/>
        <w:bottom w:w="0" w:type="dxa"/>
        <w:right w:w="108" w:type="dxa"/>
      </w:tblCellMar>
    </w:tblPr>
  </w:style>
  <w:style w:type="paragraph" w:styleId="2">
    <w:name w:val="Body Text"/>
    <w:basedOn w:val="1"/>
    <w:qFormat/>
    <w:uiPriority w:val="0"/>
    <w:pPr>
      <w:jc w:val="left"/>
    </w:pPr>
    <w:rPr>
      <w:sz w:val="34"/>
      <w:szCs w:val="28"/>
    </w:rPr>
  </w:style>
  <w:style w:type="paragraph" w:styleId="4">
    <w:name w:val="Salutation"/>
    <w:basedOn w:val="1"/>
    <w:next w:val="1"/>
    <w:qFormat/>
    <w:uiPriority w:val="0"/>
    <w:rPr>
      <w:rFonts w:ascii="仿宋_GB2312" w:hAnsi="宋体" w:eastAsia="仿宋_GB2312"/>
      <w:color w:val="000000"/>
      <w:sz w:val="28"/>
      <w:szCs w:val="28"/>
      <w:lang w:val="en-GB"/>
    </w:rPr>
  </w:style>
  <w:style w:type="paragraph" w:styleId="5">
    <w:name w:val="Closing"/>
    <w:basedOn w:val="1"/>
    <w:qFormat/>
    <w:uiPriority w:val="0"/>
    <w:pPr>
      <w:ind w:left="100" w:leftChars="2100"/>
    </w:pPr>
    <w:rPr>
      <w:rFonts w:ascii="仿宋_GB2312" w:hAnsi="宋体" w:eastAsia="仿宋_GB2312"/>
      <w:color w:val="000000"/>
      <w:sz w:val="28"/>
      <w:szCs w:val="28"/>
      <w:lang w:val="en-GB"/>
    </w:rPr>
  </w:style>
  <w:style w:type="paragraph" w:styleId="6">
    <w:name w:val="Balloon Text"/>
    <w:basedOn w:val="1"/>
    <w:qFormat/>
    <w:uiPriority w:val="0"/>
    <w:rPr>
      <w:sz w:val="18"/>
      <w:szCs w:val="18"/>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10">
    <w:name w:val="Normal (Web)"/>
    <w:basedOn w:val="1"/>
    <w:qFormat/>
    <w:uiPriority w:val="0"/>
    <w:pPr>
      <w:spacing w:before="100" w:beforeAutospacing="1" w:after="100" w:afterAutospacing="1"/>
      <w:jc w:val="left"/>
    </w:pPr>
    <w:rPr>
      <w:rFonts w:ascii="Calibri" w:hAnsi="Calibri" w:eastAsia="宋体" w:cs="Times New Roman"/>
      <w:kern w:val="0"/>
      <w:sz w:val="24"/>
      <w:szCs w:val="24"/>
    </w:rPr>
  </w:style>
  <w:style w:type="character" w:styleId="13">
    <w:name w:val="page number"/>
    <w:basedOn w:val="12"/>
    <w:qFormat/>
    <w:uiPriority w:val="0"/>
  </w:style>
  <w:style w:type="paragraph" w:customStyle="1" w:styleId="14">
    <w:name w:val="_Style 2"/>
    <w:basedOn w:val="1"/>
    <w:qFormat/>
    <w:uiPriority w:val="0"/>
  </w:style>
  <w:style w:type="paragraph" w:customStyle="1" w:styleId="15">
    <w:name w:val="Standard"/>
    <w:qFormat/>
    <w:uiPriority w:val="0"/>
    <w:pPr>
      <w:suppressAutoHyphens/>
      <w:autoSpaceDN w:val="0"/>
      <w:textAlignment w:val="baseline"/>
    </w:pPr>
    <w:rPr>
      <w:rFonts w:ascii="Times New Roman" w:hAnsi="Times New Roman" w:eastAsia="宋体" w:cs="Arial Unicode MS"/>
      <w:kern w:val="3"/>
      <w:sz w:val="24"/>
      <w:szCs w:val="24"/>
      <w:lang w:val="en-US" w:eastAsia="zh-CN" w:bidi="hi-IN"/>
    </w:rPr>
  </w:style>
  <w:style w:type="character" w:customStyle="1" w:styleId="16">
    <w:name w:val="Hei Ti"/>
    <w:qFormat/>
    <w:uiPriority w:val="0"/>
    <w:rPr>
      <w:rFonts w:ascii="黑体" w:hAnsi="黑体" w:eastAsia="黑体" w:cs="黑体"/>
      <w:sz w:val="32"/>
    </w:rPr>
  </w:style>
  <w:style w:type="character" w:customStyle="1" w:styleId="17">
    <w:name w:val="Hei Ti Bold"/>
    <w:qFormat/>
    <w:uiPriority w:val="0"/>
    <w:rPr>
      <w:rFonts w:ascii="黑体" w:hAnsi="黑体" w:eastAsia="黑体" w:cs="黑体"/>
      <w:b/>
      <w:sz w:val="32"/>
    </w:rPr>
  </w:style>
  <w:style w:type="character" w:customStyle="1" w:styleId="18">
    <w:name w:val="Hei Ti Bold1"/>
    <w:qFormat/>
    <w:uiPriority w:val="0"/>
    <w:rPr>
      <w:rFonts w:ascii="黑体" w:hAnsi="黑体" w:eastAsia="黑体" w:cs="黑体"/>
      <w:b/>
      <w:sz w:val="36"/>
    </w:rPr>
  </w:style>
  <w:style w:type="character" w:customStyle="1" w:styleId="19">
    <w:name w:val="GB_2312"/>
    <w:qFormat/>
    <w:uiPriority w:val="0"/>
    <w:rPr>
      <w:rFonts w:ascii="仿宋_GB2312" w:hAnsi="仿宋_GB2312" w:eastAsia="仿宋_GB2312" w:cs="仿宋_GB2312"/>
      <w:sz w:val="32"/>
    </w:rPr>
  </w:style>
  <w:style w:type="character" w:customStyle="1" w:styleId="20">
    <w:name w:val="GB_23121"/>
    <w:qFormat/>
    <w:uiPriority w:val="0"/>
    <w:rPr>
      <w:rFonts w:ascii="仿宋_GB2312" w:hAnsi="仿宋_GB2312" w:eastAsia="仿宋_GB2312" w:cs="仿宋_GB2312"/>
      <w:sz w:val="36"/>
    </w:rPr>
  </w:style>
  <w:style w:type="character" w:customStyle="1" w:styleId="21">
    <w:name w:val="Red_Color"/>
    <w:qFormat/>
    <w:uiPriority w:val="0"/>
    <w:rPr>
      <w:rFonts w:ascii="方正小标宋简体" w:hAnsi="方正小标宋简体" w:eastAsia="方正小标宋简体" w:cs="方正小标宋简体"/>
      <w:color w:val="000000"/>
      <w:sz w:val="65"/>
    </w:rPr>
  </w:style>
  <w:style w:type="character" w:customStyle="1" w:styleId="22">
    <w:name w:val="KaiTi"/>
    <w:qFormat/>
    <w:uiPriority w:val="0"/>
    <w:rPr>
      <w:rFonts w:ascii="楷体_GB2312" w:hAnsi="楷体_GB2312" w:eastAsia="楷体_GB2312" w:cs="楷体_GB2312"/>
      <w:sz w:val="32"/>
    </w:rPr>
  </w:style>
  <w:style w:type="character" w:customStyle="1" w:styleId="23">
    <w:name w:val="Fz_Xbs"/>
    <w:qFormat/>
    <w:uiPriority w:val="0"/>
    <w:rPr>
      <w:rFonts w:ascii="方正小标宋简体" w:hAnsi="方正小标宋简体" w:eastAsia="方正小标宋简体" w:cs="方正小标宋简体"/>
      <w:sz w:val="44"/>
    </w:rPr>
  </w:style>
  <w:style w:type="character" w:customStyle="1" w:styleId="24">
    <w:name w:val="标题 1 Char"/>
    <w:link w:val="3"/>
    <w:qFormat/>
    <w:uiPriority w:val="9"/>
    <w:rPr>
      <w:b/>
      <w:bCs/>
      <w:kern w:val="44"/>
      <w:sz w:val="44"/>
      <w:szCs w:val="4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Pages>
  <Words>7560</Words>
  <Characters>7596</Characters>
  <Paragraphs>121</Paragraphs>
  <TotalTime>4</TotalTime>
  <ScaleCrop>false</ScaleCrop>
  <LinksUpToDate>false</LinksUpToDate>
  <CharactersWithSpaces>7634</CharactersWithSpaces>
  <Application>WPS Office_11.8.2.10554_F1E327BC-269C-435d-A152-05C5408002CA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2022-01-25T00:29:00Z</dcterms:created>
  <dc:creator>张殿武</dc:creator>
  <cp:lastModifiedBy>kylin</cp:lastModifiedBy>
  <cp:lastPrinted>2012-09-04T22:13:00Z</cp:lastPrinted>
  <dcterms:modified xsi:type="dcterms:W3CDTF">2024-08-23T11:32:36Z</dcterms:modified>
  <dc:title>000001</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2052-11.8.2.10554</vt:lpwstr>
  </property>
</Properties>
</file>